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FDE87" w14:textId="77777777" w:rsidR="00963E0D" w:rsidRPr="00DE4CB4" w:rsidRDefault="00963E0D" w:rsidP="00DE4CB4">
      <w:pPr>
        <w:jc w:val="center"/>
        <w:rPr>
          <w:rFonts w:eastAsia="Times New Roman"/>
          <w:b/>
          <w:iCs/>
        </w:rPr>
      </w:pPr>
      <w:r w:rsidRPr="00DE4CB4">
        <w:rPr>
          <w:rFonts w:eastAsia="Times New Roman"/>
          <w:b/>
          <w:iCs/>
          <w:sz w:val="24"/>
        </w:rPr>
        <w:t>Manufacturer</w:t>
      </w:r>
      <w:r w:rsidR="00DE4CB4">
        <w:rPr>
          <w:rFonts w:eastAsia="Times New Roman"/>
          <w:b/>
          <w:iCs/>
          <w:sz w:val="24"/>
        </w:rPr>
        <w:t>’</w:t>
      </w:r>
      <w:r w:rsidRPr="00DE4CB4">
        <w:rPr>
          <w:rFonts w:eastAsia="Times New Roman"/>
          <w:b/>
          <w:iCs/>
          <w:sz w:val="24"/>
        </w:rPr>
        <w:t>s comments concerning the human health hazard assessment of DCOIT</w:t>
      </w:r>
    </w:p>
    <w:p w14:paraId="21D8C4A0" w14:textId="77777777" w:rsidR="00963E0D" w:rsidRDefault="00963E0D" w:rsidP="00695851">
      <w:pPr>
        <w:rPr>
          <w:rFonts w:eastAsia="Times New Roman"/>
          <w:iCs/>
        </w:rPr>
      </w:pPr>
    </w:p>
    <w:p w14:paraId="43590FF3" w14:textId="77777777" w:rsidR="00DE4CB4" w:rsidRDefault="00DE4CB4" w:rsidP="00DE4CB4">
      <w:pPr>
        <w:jc w:val="both"/>
        <w:rPr>
          <w:lang w:val="en-GB"/>
        </w:rPr>
      </w:pPr>
      <w:bookmarkStart w:id="0" w:name="_GoBack"/>
      <w:bookmarkEnd w:id="0"/>
    </w:p>
    <w:p w14:paraId="4AC5AE46" w14:textId="77777777" w:rsidR="00DE4CB4" w:rsidRPr="00DE4CB4" w:rsidRDefault="00DE4CB4" w:rsidP="00DE4CB4">
      <w:pPr>
        <w:jc w:val="both"/>
        <w:rPr>
          <w:b/>
          <w:lang w:val="en-GB"/>
        </w:rPr>
      </w:pPr>
      <w:r w:rsidRPr="00DE4CB4">
        <w:rPr>
          <w:b/>
          <w:lang w:val="en-GB"/>
        </w:rPr>
        <w:t>Introduction</w:t>
      </w:r>
    </w:p>
    <w:p w14:paraId="1CBB9AD5" w14:textId="77777777" w:rsidR="00DE4CB4" w:rsidRDefault="00695851" w:rsidP="00FF3C69">
      <w:pPr>
        <w:jc w:val="both"/>
        <w:rPr>
          <w:rFonts w:eastAsia="Times New Roman"/>
          <w:iCs/>
        </w:rPr>
      </w:pPr>
      <w:r w:rsidRPr="00695851">
        <w:rPr>
          <w:rFonts w:eastAsia="Times New Roman"/>
          <w:iCs/>
        </w:rPr>
        <w:t>Dow and Thor GmbH welcome the opportunity to provide comments on the classification proposal for 4</w:t>
      </w:r>
      <w:proofErr w:type="gramStart"/>
      <w:r w:rsidRPr="00695851">
        <w:rPr>
          <w:rFonts w:eastAsia="Times New Roman"/>
          <w:iCs/>
        </w:rPr>
        <w:t>,5</w:t>
      </w:r>
      <w:proofErr w:type="gramEnd"/>
      <w:r w:rsidRPr="00695851">
        <w:rPr>
          <w:rFonts w:eastAsia="Times New Roman"/>
          <w:iCs/>
        </w:rPr>
        <w:t>-dichloro-2-octyl-2H-isothiazol-3-one</w:t>
      </w:r>
      <w:r w:rsidR="0039420A">
        <w:rPr>
          <w:rFonts w:eastAsia="Times New Roman"/>
          <w:iCs/>
        </w:rPr>
        <w:t xml:space="preserve"> </w:t>
      </w:r>
      <w:r w:rsidRPr="00695851">
        <w:rPr>
          <w:rFonts w:eastAsia="Times New Roman"/>
          <w:iCs/>
        </w:rPr>
        <w:t>(DCOIT). In providing our comments, we refer to the Regulation (EC) 1272/2008, on classification, labelling and packaging of substances and mixtures (CLP), and the most recent Guidance on the Application of the CLP Criteria Version 5.0*, (CLP Guidance) released by ECHA in July</w:t>
      </w:r>
      <w:r>
        <w:rPr>
          <w:rFonts w:eastAsia="Times New Roman"/>
          <w:iCs/>
        </w:rPr>
        <w:t xml:space="preserve"> </w:t>
      </w:r>
      <w:r w:rsidRPr="00695851">
        <w:rPr>
          <w:rFonts w:eastAsia="Times New Roman"/>
          <w:iCs/>
        </w:rPr>
        <w:t>2017.</w:t>
      </w:r>
    </w:p>
    <w:p w14:paraId="642FAA54" w14:textId="77777777" w:rsidR="00DE4CB4" w:rsidRDefault="00DE4CB4" w:rsidP="00DE4CB4">
      <w:pPr>
        <w:jc w:val="both"/>
        <w:rPr>
          <w:lang w:val="en-GB"/>
        </w:rPr>
      </w:pPr>
    </w:p>
    <w:p w14:paraId="13A64743" w14:textId="77777777" w:rsidR="00992F5C" w:rsidRPr="00EF3D5B" w:rsidRDefault="002559D0" w:rsidP="00DE4CB4">
      <w:pPr>
        <w:jc w:val="both"/>
        <w:rPr>
          <w:lang w:val="en-GB"/>
        </w:rPr>
      </w:pPr>
      <w:r w:rsidRPr="00EF3D5B">
        <w:rPr>
          <w:b/>
          <w:lang w:val="en-GB"/>
        </w:rPr>
        <w:t>Applicability of inhalation labelling</w:t>
      </w:r>
      <w:r w:rsidR="00992F5C" w:rsidRPr="00EF3D5B">
        <w:rPr>
          <w:lang w:val="en-GB"/>
        </w:rPr>
        <w:t>:</w:t>
      </w:r>
    </w:p>
    <w:p w14:paraId="6D089AA5" w14:textId="77777777" w:rsidR="00695851" w:rsidRDefault="002559D0" w:rsidP="00992F5C">
      <w:pPr>
        <w:jc w:val="both"/>
        <w:rPr>
          <w:lang w:val="en-GB"/>
        </w:rPr>
      </w:pPr>
      <w:r w:rsidRPr="00EF3D5B">
        <w:rPr>
          <w:lang w:val="en-GB"/>
        </w:rPr>
        <w:t xml:space="preserve">As applicants supporting the active substance DCOIT we question the relevance to the end user of labelling DCOIT for inhalation hazards based on physicochemical properties, form placed on the market and potential inhalation exposure during normal use. </w:t>
      </w:r>
    </w:p>
    <w:p w14:paraId="7E21ACD1" w14:textId="04F2C162" w:rsidR="00695851" w:rsidRDefault="00C83E71" w:rsidP="00A75253">
      <w:pPr>
        <w:jc w:val="both"/>
        <w:rPr>
          <w:lang w:val="en-GB"/>
        </w:rPr>
      </w:pPr>
      <w:r w:rsidRPr="00EF3D5B">
        <w:rPr>
          <w:lang w:val="en-GB"/>
        </w:rPr>
        <w:t xml:space="preserve">DCOIT </w:t>
      </w:r>
      <w:r w:rsidR="00695851">
        <w:rPr>
          <w:lang w:val="en-GB"/>
        </w:rPr>
        <w:t xml:space="preserve">is a solid at room temperature and </w:t>
      </w:r>
      <w:r w:rsidRPr="00EF3D5B">
        <w:rPr>
          <w:lang w:val="en-GB"/>
        </w:rPr>
        <w:t>has a low vapour pressure</w:t>
      </w:r>
      <w:r>
        <w:rPr>
          <w:lang w:val="en-GB"/>
        </w:rPr>
        <w:t xml:space="preserve"> (</w:t>
      </w:r>
      <w:r w:rsidRPr="000D59B3">
        <w:rPr>
          <w:lang w:val="en-GB"/>
        </w:rPr>
        <w:t>0.0014 Pa</w:t>
      </w:r>
      <w:r w:rsidRPr="00C83E71">
        <w:rPr>
          <w:lang w:val="en-GB"/>
        </w:rPr>
        <w:t xml:space="preserve"> </w:t>
      </w:r>
      <w:r>
        <w:rPr>
          <w:lang w:val="en-GB"/>
        </w:rPr>
        <w:t>a</w:t>
      </w:r>
      <w:r w:rsidRPr="00EF3D5B">
        <w:rPr>
          <w:lang w:val="en-GB"/>
        </w:rPr>
        <w:t xml:space="preserve">t </w:t>
      </w:r>
      <w:r w:rsidR="00992F5C" w:rsidRPr="00EF3D5B">
        <w:rPr>
          <w:lang w:val="en-GB"/>
        </w:rPr>
        <w:t>20ºC</w:t>
      </w:r>
      <w:r>
        <w:rPr>
          <w:lang w:val="en-GB"/>
        </w:rPr>
        <w:t>)</w:t>
      </w:r>
      <w:r w:rsidR="00EF3D5B">
        <w:rPr>
          <w:lang w:val="en-GB"/>
        </w:rPr>
        <w:t xml:space="preserve"> and thus</w:t>
      </w:r>
      <w:r w:rsidR="00EF3D5B" w:rsidRPr="00EF3D5B" w:rsidDel="00EF3D5B">
        <w:rPr>
          <w:lang w:val="en-GB"/>
        </w:rPr>
        <w:t xml:space="preserve"> </w:t>
      </w:r>
      <w:r w:rsidR="00EF3D5B">
        <w:rPr>
          <w:lang w:val="en-GB"/>
        </w:rPr>
        <w:t>the active substance i</w:t>
      </w:r>
      <w:r w:rsidR="00695851">
        <w:rPr>
          <w:lang w:val="en-GB"/>
        </w:rPr>
        <w:t>s</w:t>
      </w:r>
      <w:r w:rsidR="00EF3D5B">
        <w:rPr>
          <w:lang w:val="en-GB"/>
        </w:rPr>
        <w:t xml:space="preserve"> not volatile</w:t>
      </w:r>
      <w:r w:rsidR="00992F5C" w:rsidRPr="00EF3D5B">
        <w:rPr>
          <w:lang w:val="en-GB"/>
        </w:rPr>
        <w:t xml:space="preserve">. </w:t>
      </w:r>
      <w:r w:rsidR="00695851">
        <w:rPr>
          <w:lang w:val="en-GB"/>
        </w:rPr>
        <w:t>Furthermore, the</w:t>
      </w:r>
      <w:r w:rsidR="00992F5C" w:rsidRPr="00EF3D5B">
        <w:rPr>
          <w:lang w:val="en-GB"/>
        </w:rPr>
        <w:t xml:space="preserve"> form in which the active is </w:t>
      </w:r>
      <w:r w:rsidR="004F197A">
        <w:rPr>
          <w:lang w:val="en-GB"/>
        </w:rPr>
        <w:t>presented</w:t>
      </w:r>
      <w:r w:rsidR="004F197A" w:rsidRPr="00EF3D5B">
        <w:rPr>
          <w:lang w:val="en-GB"/>
        </w:rPr>
        <w:t xml:space="preserve"> </w:t>
      </w:r>
      <w:r w:rsidR="00992F5C" w:rsidRPr="00EF3D5B">
        <w:rPr>
          <w:lang w:val="en-GB"/>
        </w:rPr>
        <w:t xml:space="preserve">for the </w:t>
      </w:r>
      <w:r w:rsidR="00695851">
        <w:rPr>
          <w:lang w:val="en-GB"/>
        </w:rPr>
        <w:t xml:space="preserve">study </w:t>
      </w:r>
      <w:r w:rsidR="00992F5C" w:rsidRPr="00EF3D5B">
        <w:rPr>
          <w:lang w:val="en-GB"/>
        </w:rPr>
        <w:t xml:space="preserve">is not representative of </w:t>
      </w:r>
      <w:r w:rsidR="004F197A">
        <w:rPr>
          <w:lang w:val="en-GB"/>
        </w:rPr>
        <w:t xml:space="preserve">the intrinsic nature of the substance, nor therefore conditions relating to </w:t>
      </w:r>
      <w:r w:rsidR="00992F5C" w:rsidRPr="00EF3D5B">
        <w:rPr>
          <w:lang w:val="en-GB"/>
        </w:rPr>
        <w:t>workplace exposure to the substance</w:t>
      </w:r>
      <w:r w:rsidR="004F197A">
        <w:rPr>
          <w:lang w:val="en-GB"/>
        </w:rPr>
        <w:t xml:space="preserve">. </w:t>
      </w:r>
      <w:r w:rsidR="00A75253" w:rsidRPr="00A75253">
        <w:t xml:space="preserve">The substance was prepared in a way as to maximize inhalation exposure e.g. </w:t>
      </w:r>
      <w:r w:rsidR="00AA512F">
        <w:t xml:space="preserve">the aerosol was generated from DCOIT dissolved in DMSO </w:t>
      </w:r>
      <w:r w:rsidR="001B3BDF">
        <w:t xml:space="preserve">(Thor, 2001) </w:t>
      </w:r>
      <w:r w:rsidR="00AA512F">
        <w:t xml:space="preserve">or </w:t>
      </w:r>
      <w:r w:rsidR="00A75253" w:rsidRPr="00A75253">
        <w:t>by milling</w:t>
      </w:r>
      <w:r w:rsidR="00D17A5F">
        <w:t xml:space="preserve"> it</w:t>
      </w:r>
      <w:r w:rsidR="00A75253" w:rsidRPr="00A75253">
        <w:t xml:space="preserve"> to a fine powder </w:t>
      </w:r>
      <w:r w:rsidR="001B3BDF">
        <w:t xml:space="preserve">(Dow, 1994) </w:t>
      </w:r>
      <w:r w:rsidR="00A75253" w:rsidRPr="00A75253">
        <w:t>which results in forced creation of respirable particles</w:t>
      </w:r>
      <w:r w:rsidR="00A75253">
        <w:t xml:space="preserve"> </w:t>
      </w:r>
      <w:r w:rsidR="00992F5C" w:rsidRPr="00A75253">
        <w:rPr>
          <w:lang w:val="en-GB"/>
        </w:rPr>
        <w:t xml:space="preserve">of a size not generated during normal </w:t>
      </w:r>
      <w:r w:rsidR="00992F5C" w:rsidRPr="00EF3D5B">
        <w:rPr>
          <w:lang w:val="en-GB"/>
        </w:rPr>
        <w:t xml:space="preserve">use, nor of an atmosphere relevant for worker/consumer exposure. </w:t>
      </w:r>
      <w:r w:rsidR="00695851">
        <w:rPr>
          <w:lang w:val="en-GB"/>
        </w:rPr>
        <w:t>Therefore,</w:t>
      </w:r>
      <w:r w:rsidR="00695851" w:rsidRPr="00EF3D5B">
        <w:rPr>
          <w:lang w:val="en-GB"/>
        </w:rPr>
        <w:t xml:space="preserve"> the potential for exposure to </w:t>
      </w:r>
      <w:r w:rsidR="00695851" w:rsidRPr="00484FBE">
        <w:rPr>
          <w:b/>
          <w:lang w:val="en-GB"/>
        </w:rPr>
        <w:t>technical grade DCOIT</w:t>
      </w:r>
      <w:r w:rsidR="00695851" w:rsidRPr="00EF3D5B">
        <w:rPr>
          <w:lang w:val="en-GB"/>
        </w:rPr>
        <w:t xml:space="preserve"> at sufficient concentrations to pose a hazard via inhalation is considered to be negligible and would be further prevented by R</w:t>
      </w:r>
      <w:r w:rsidR="00695851">
        <w:rPr>
          <w:lang w:val="en-GB"/>
        </w:rPr>
        <w:t>isk mitigation measures (R</w:t>
      </w:r>
      <w:r w:rsidR="00695851" w:rsidRPr="00EF3D5B">
        <w:rPr>
          <w:lang w:val="en-GB"/>
        </w:rPr>
        <w:t>MMs</w:t>
      </w:r>
      <w:r w:rsidR="00695851">
        <w:rPr>
          <w:lang w:val="en-GB"/>
        </w:rPr>
        <w:t>)</w:t>
      </w:r>
      <w:r w:rsidR="00695851" w:rsidRPr="00EF3D5B">
        <w:rPr>
          <w:lang w:val="en-GB"/>
        </w:rPr>
        <w:t xml:space="preserve"> put in place during manufacturing and use due to its corrosive and sensiti</w:t>
      </w:r>
      <w:r w:rsidR="00695851">
        <w:rPr>
          <w:lang w:val="en-GB"/>
        </w:rPr>
        <w:t>s</w:t>
      </w:r>
      <w:r w:rsidR="00695851" w:rsidRPr="00EF3D5B">
        <w:rPr>
          <w:lang w:val="en-GB"/>
        </w:rPr>
        <w:t>ing properties.</w:t>
      </w:r>
      <w:r w:rsidR="00695851">
        <w:rPr>
          <w:lang w:val="en-GB"/>
        </w:rPr>
        <w:t xml:space="preserve"> </w:t>
      </w:r>
    </w:p>
    <w:p w14:paraId="6CEFB7F2" w14:textId="77777777" w:rsidR="00992F5C" w:rsidRDefault="002559D0" w:rsidP="00992F5C">
      <w:pPr>
        <w:jc w:val="both"/>
        <w:rPr>
          <w:lang w:val="en-GB"/>
        </w:rPr>
      </w:pPr>
      <w:r w:rsidRPr="00EF3D5B">
        <w:rPr>
          <w:lang w:val="en-GB"/>
        </w:rPr>
        <w:t>According to section 1.2.3.2 of the guidance on application of CLP criteria (ECHA 2017) ‘</w:t>
      </w:r>
      <w:r w:rsidRPr="00EF3D5B">
        <w:rPr>
          <w:i/>
          <w:sz w:val="24"/>
          <w:szCs w:val="24"/>
          <w:lang w:val="en-GB"/>
        </w:rPr>
        <w:t>in some cases, substances or mixtures have to be transformed into specific forms not mirroring ‘real-life’ exposures in order that an animal test can be performed. As a consequence, the results of such tests may have to be evaluated taking into account any limitations due to the fact that the specific form of the tested substance or mixture does not or not perfectly represent that to which human exposure may occur during intended, known, or reasonably expected use’</w:t>
      </w:r>
      <w:r w:rsidRPr="00EF3D5B">
        <w:rPr>
          <w:sz w:val="20"/>
          <w:szCs w:val="20"/>
          <w:lang w:val="en-GB"/>
        </w:rPr>
        <w:t xml:space="preserve">. </w:t>
      </w:r>
      <w:r w:rsidR="00992F5C" w:rsidRPr="00EF3D5B">
        <w:rPr>
          <w:lang w:val="en-GB"/>
        </w:rPr>
        <w:t>It is therefore considered that classification for acute inhalation toxicity</w:t>
      </w:r>
      <w:r w:rsidRPr="00EF3D5B">
        <w:rPr>
          <w:lang w:val="en-GB"/>
        </w:rPr>
        <w:t xml:space="preserve"> for the technical material</w:t>
      </w:r>
      <w:r w:rsidR="00992F5C" w:rsidRPr="00EF3D5B">
        <w:rPr>
          <w:lang w:val="en-GB"/>
        </w:rPr>
        <w:t xml:space="preserve"> is not warranted</w:t>
      </w:r>
      <w:r w:rsidR="00245511" w:rsidRPr="00EF3D5B">
        <w:rPr>
          <w:lang w:val="en-GB"/>
        </w:rPr>
        <w:t xml:space="preserve"> since exposure during intended, known or </w:t>
      </w:r>
      <w:r w:rsidR="003E4CD3">
        <w:rPr>
          <w:lang w:val="en-GB"/>
        </w:rPr>
        <w:t xml:space="preserve">reasonably </w:t>
      </w:r>
      <w:r w:rsidR="00245511" w:rsidRPr="00EF3D5B">
        <w:rPr>
          <w:lang w:val="en-GB"/>
        </w:rPr>
        <w:t>expected use is not foreseen</w:t>
      </w:r>
      <w:r w:rsidR="00695851">
        <w:rPr>
          <w:lang w:val="en-GB"/>
        </w:rPr>
        <w:t xml:space="preserve"> and a</w:t>
      </w:r>
      <w:r w:rsidR="00B00C48">
        <w:rPr>
          <w:lang w:val="en-GB"/>
        </w:rPr>
        <w:t xml:space="preserve">s a logic consequence, the </w:t>
      </w:r>
      <w:r w:rsidR="00B00C48" w:rsidRPr="00EF3D5B">
        <w:rPr>
          <w:lang w:val="en-GB"/>
        </w:rPr>
        <w:t>supplementary labelling with EUH 071</w:t>
      </w:r>
      <w:r w:rsidR="00B00C48">
        <w:rPr>
          <w:lang w:val="en-GB"/>
        </w:rPr>
        <w:t xml:space="preserve"> (corrosive to the respiratory tract) and </w:t>
      </w:r>
      <w:r w:rsidR="004E3A6F">
        <w:rPr>
          <w:lang w:val="en-GB"/>
        </w:rPr>
        <w:t xml:space="preserve">consideration on </w:t>
      </w:r>
      <w:r w:rsidR="00B00C48" w:rsidRPr="00EF3D5B">
        <w:rPr>
          <w:lang w:val="en-GB"/>
        </w:rPr>
        <w:t>STOT SE</w:t>
      </w:r>
      <w:r w:rsidR="00B00C48">
        <w:rPr>
          <w:lang w:val="en-GB"/>
        </w:rPr>
        <w:t xml:space="preserve"> </w:t>
      </w:r>
      <w:r w:rsidR="00B00C48" w:rsidRPr="00EF3D5B">
        <w:rPr>
          <w:lang w:val="en-GB"/>
        </w:rPr>
        <w:t>3</w:t>
      </w:r>
      <w:r w:rsidR="00B00C48">
        <w:rPr>
          <w:lang w:val="en-GB"/>
        </w:rPr>
        <w:t xml:space="preserve"> (transient respiratory tract irritation and narcotic effects) are both not justified and should be </w:t>
      </w:r>
      <w:r w:rsidR="004E3A6F">
        <w:rPr>
          <w:lang w:val="en-GB"/>
        </w:rPr>
        <w:t>disregarded</w:t>
      </w:r>
      <w:r w:rsidR="00B00C48">
        <w:rPr>
          <w:lang w:val="en-GB"/>
        </w:rPr>
        <w:t>.</w:t>
      </w:r>
    </w:p>
    <w:p w14:paraId="4370C004" w14:textId="77777777" w:rsidR="00695851" w:rsidRDefault="00695851">
      <w:pPr>
        <w:rPr>
          <w:lang w:val="en-GB"/>
        </w:rPr>
      </w:pPr>
    </w:p>
    <w:p w14:paraId="57833218" w14:textId="77777777" w:rsidR="00992F5C" w:rsidRPr="00963E0D" w:rsidRDefault="00074C1E">
      <w:pPr>
        <w:rPr>
          <w:b/>
          <w:lang w:val="en-GB"/>
        </w:rPr>
      </w:pPr>
      <w:r w:rsidRPr="00963E0D">
        <w:rPr>
          <w:b/>
          <w:lang w:val="en-GB"/>
        </w:rPr>
        <w:t>Dermal irritation</w:t>
      </w:r>
    </w:p>
    <w:p w14:paraId="5F2597FC" w14:textId="4372C414" w:rsidR="001E5A52" w:rsidRPr="00963E0D" w:rsidRDefault="006C4FA1" w:rsidP="002559D0">
      <w:pPr>
        <w:jc w:val="both"/>
        <w:rPr>
          <w:lang w:val="en-GB"/>
        </w:rPr>
      </w:pPr>
      <w:r w:rsidRPr="00963E0D">
        <w:rPr>
          <w:lang w:val="en-GB"/>
        </w:rPr>
        <w:t>We</w:t>
      </w:r>
      <w:r w:rsidR="00074C1E" w:rsidRPr="00963E0D">
        <w:rPr>
          <w:lang w:val="en-GB"/>
        </w:rPr>
        <w:t xml:space="preserve"> agree with the proposed classification for DCOIT as </w:t>
      </w:r>
      <w:r w:rsidR="008B2863">
        <w:rPr>
          <w:lang w:val="en-GB"/>
        </w:rPr>
        <w:t xml:space="preserve">Skin </w:t>
      </w:r>
      <w:r w:rsidR="00074C1E" w:rsidRPr="00963E0D">
        <w:rPr>
          <w:lang w:val="en-GB"/>
        </w:rPr>
        <w:t>Corrosive category 1 based upon the study by Thor</w:t>
      </w:r>
      <w:r w:rsidR="008B2863">
        <w:rPr>
          <w:lang w:val="en-GB"/>
        </w:rPr>
        <w:t xml:space="preserve"> (1989)</w:t>
      </w:r>
      <w:r w:rsidR="00074C1E" w:rsidRPr="00963E0D">
        <w:rPr>
          <w:lang w:val="en-GB"/>
        </w:rPr>
        <w:t>. However</w:t>
      </w:r>
      <w:r w:rsidR="00CD2303" w:rsidRPr="00963E0D">
        <w:rPr>
          <w:lang w:val="en-GB"/>
        </w:rPr>
        <w:t>,</w:t>
      </w:r>
      <w:r w:rsidR="00074C1E" w:rsidRPr="00963E0D">
        <w:rPr>
          <w:lang w:val="en-GB"/>
        </w:rPr>
        <w:t xml:space="preserve"> we think a more appropriate SCL can be derived </w:t>
      </w:r>
      <w:r w:rsidR="00242F60" w:rsidRPr="00963E0D">
        <w:rPr>
          <w:lang w:val="en-GB"/>
        </w:rPr>
        <w:t xml:space="preserve">for dermal irritation </w:t>
      </w:r>
      <w:r w:rsidR="00074C1E" w:rsidRPr="00963E0D">
        <w:rPr>
          <w:lang w:val="en-GB"/>
        </w:rPr>
        <w:t xml:space="preserve">from the data </w:t>
      </w:r>
      <w:r w:rsidR="00074C1E" w:rsidRPr="00963E0D">
        <w:rPr>
          <w:lang w:val="en-GB"/>
        </w:rPr>
        <w:lastRenderedPageBreak/>
        <w:t>presented</w:t>
      </w:r>
      <w:r w:rsidR="00715E6A" w:rsidRPr="00963E0D">
        <w:rPr>
          <w:lang w:val="en-GB"/>
        </w:rPr>
        <w:t xml:space="preserve"> using </w:t>
      </w:r>
      <w:r w:rsidR="00242F60" w:rsidRPr="00963E0D">
        <w:rPr>
          <w:lang w:val="en-GB"/>
        </w:rPr>
        <w:t xml:space="preserve">a weight of evidence approach and looking at the </w:t>
      </w:r>
      <w:r w:rsidR="00CD2303" w:rsidRPr="00963E0D">
        <w:rPr>
          <w:lang w:val="en-GB"/>
        </w:rPr>
        <w:t xml:space="preserve">available </w:t>
      </w:r>
      <w:r w:rsidR="00242F60" w:rsidRPr="00963E0D">
        <w:rPr>
          <w:lang w:val="en-GB"/>
        </w:rPr>
        <w:t>animal and</w:t>
      </w:r>
      <w:r w:rsidR="00715E6A" w:rsidRPr="00963E0D">
        <w:rPr>
          <w:lang w:val="en-GB"/>
        </w:rPr>
        <w:t xml:space="preserve"> human studies</w:t>
      </w:r>
      <w:r w:rsidR="00242F60" w:rsidRPr="00963E0D">
        <w:rPr>
          <w:lang w:val="en-GB"/>
        </w:rPr>
        <w:t xml:space="preserve"> as a whole</w:t>
      </w:r>
      <w:r w:rsidR="00074C1E" w:rsidRPr="00963E0D">
        <w:rPr>
          <w:lang w:val="en-GB"/>
        </w:rPr>
        <w:t>.</w:t>
      </w:r>
      <w:r w:rsidR="00715E6A" w:rsidRPr="00963E0D">
        <w:rPr>
          <w:lang w:val="en-GB"/>
        </w:rPr>
        <w:t xml:space="preserve"> </w:t>
      </w:r>
    </w:p>
    <w:p w14:paraId="40449383" w14:textId="24D9089C" w:rsidR="00074C1E" w:rsidRPr="00963E0D" w:rsidRDefault="00715E6A" w:rsidP="002559D0">
      <w:pPr>
        <w:jc w:val="both"/>
        <w:rPr>
          <w:lang w:val="en-GB"/>
        </w:rPr>
      </w:pPr>
      <w:r w:rsidRPr="00963E0D">
        <w:rPr>
          <w:lang w:val="en-GB"/>
        </w:rPr>
        <w:t>Whilst it is correct that reliable a</w:t>
      </w:r>
      <w:r w:rsidR="002559D0" w:rsidRPr="00963E0D">
        <w:rPr>
          <w:lang w:val="en-GB"/>
        </w:rPr>
        <w:t>nimal data indicating a threshold for dermal irritation is not available for DCOIT</w:t>
      </w:r>
      <w:r w:rsidR="001E5A52" w:rsidRPr="00963E0D">
        <w:rPr>
          <w:lang w:val="en-GB"/>
        </w:rPr>
        <w:t>,</w:t>
      </w:r>
      <w:r w:rsidR="002559D0" w:rsidRPr="00963E0D">
        <w:rPr>
          <w:lang w:val="en-GB"/>
        </w:rPr>
        <w:t xml:space="preserve"> several studies </w:t>
      </w:r>
      <w:r w:rsidR="00242F60" w:rsidRPr="00963E0D">
        <w:rPr>
          <w:lang w:val="en-GB"/>
        </w:rPr>
        <w:t>presented would indicate the threshold for dermal irritation to be &gt; 250ppm</w:t>
      </w:r>
      <w:r w:rsidR="006C4FA1" w:rsidRPr="00963E0D">
        <w:rPr>
          <w:lang w:val="en-GB"/>
        </w:rPr>
        <w:t xml:space="preserve"> (0.025%)</w:t>
      </w:r>
      <w:r w:rsidR="001E5A52" w:rsidRPr="00963E0D">
        <w:rPr>
          <w:lang w:val="en-GB"/>
        </w:rPr>
        <w:t xml:space="preserve">. </w:t>
      </w:r>
      <w:r w:rsidR="00242F60" w:rsidRPr="00963E0D">
        <w:rPr>
          <w:lang w:val="en-GB"/>
        </w:rPr>
        <w:t xml:space="preserve">In two primary irritation studies conducted in guinea pigs the highest reported non-irritating concentrations were 0.03% (300ppm). Furthermore in human studies in which volunteers were exposed to 250ppm </w:t>
      </w:r>
      <w:proofErr w:type="spellStart"/>
      <w:r w:rsidR="00242F60" w:rsidRPr="00963E0D">
        <w:rPr>
          <w:lang w:val="en-GB"/>
        </w:rPr>
        <w:t>occlusively</w:t>
      </w:r>
      <w:proofErr w:type="spellEnd"/>
      <w:r w:rsidR="00242F60" w:rsidRPr="00963E0D">
        <w:rPr>
          <w:lang w:val="en-GB"/>
        </w:rPr>
        <w:t xml:space="preserve"> and repeatedly over a period of 21 days i.e. highly exaggerated</w:t>
      </w:r>
      <w:r w:rsidR="00695851" w:rsidRPr="00963E0D">
        <w:rPr>
          <w:lang w:val="en-GB"/>
        </w:rPr>
        <w:t xml:space="preserve"> and worst case</w:t>
      </w:r>
      <w:r w:rsidR="00242F60" w:rsidRPr="00963E0D">
        <w:rPr>
          <w:lang w:val="en-GB"/>
        </w:rPr>
        <w:t xml:space="preserve"> exposure conditions, </w:t>
      </w:r>
      <w:r w:rsidR="001E5A52" w:rsidRPr="00963E0D">
        <w:rPr>
          <w:lang w:val="en-GB"/>
        </w:rPr>
        <w:t xml:space="preserve">very </w:t>
      </w:r>
      <w:r w:rsidR="00242F60" w:rsidRPr="00963E0D">
        <w:rPr>
          <w:lang w:val="en-GB"/>
        </w:rPr>
        <w:t xml:space="preserve">faint to moderate responses were observed </w:t>
      </w:r>
      <w:r w:rsidR="001E5A52" w:rsidRPr="00963E0D">
        <w:rPr>
          <w:lang w:val="en-GB"/>
        </w:rPr>
        <w:t>in several individuals. F</w:t>
      </w:r>
      <w:r w:rsidR="006C4FA1" w:rsidRPr="00963E0D">
        <w:rPr>
          <w:lang w:val="en-GB"/>
        </w:rPr>
        <w:t>ollow-</w:t>
      </w:r>
      <w:r w:rsidR="001E5A52" w:rsidRPr="00963E0D">
        <w:rPr>
          <w:lang w:val="en-GB"/>
        </w:rPr>
        <w:t xml:space="preserve">up testing </w:t>
      </w:r>
      <w:r w:rsidR="006C4FA1" w:rsidRPr="00963E0D">
        <w:rPr>
          <w:lang w:val="en-GB"/>
        </w:rPr>
        <w:t xml:space="preserve">of these individuals </w:t>
      </w:r>
      <w:r w:rsidR="001E5A52" w:rsidRPr="00963E0D">
        <w:rPr>
          <w:lang w:val="en-GB"/>
        </w:rPr>
        <w:t>indicated these</w:t>
      </w:r>
      <w:r w:rsidR="006C4FA1" w:rsidRPr="00963E0D">
        <w:rPr>
          <w:lang w:val="en-GB"/>
        </w:rPr>
        <w:t xml:space="preserve"> observed</w:t>
      </w:r>
      <w:r w:rsidR="001E5A52" w:rsidRPr="00963E0D">
        <w:rPr>
          <w:lang w:val="en-GB"/>
        </w:rPr>
        <w:t xml:space="preserve"> </w:t>
      </w:r>
      <w:r w:rsidR="006C4FA1" w:rsidRPr="00963E0D">
        <w:rPr>
          <w:lang w:val="en-GB"/>
        </w:rPr>
        <w:t xml:space="preserve">reactions </w:t>
      </w:r>
      <w:r w:rsidR="001E5A52" w:rsidRPr="00963E0D">
        <w:rPr>
          <w:lang w:val="en-GB"/>
        </w:rPr>
        <w:t xml:space="preserve">to be a result of a potential sensitisation response or in several cases reactivity was observed following exposure to vehicle </w:t>
      </w:r>
      <w:r w:rsidR="006C4FA1" w:rsidRPr="00963E0D">
        <w:rPr>
          <w:lang w:val="en-GB"/>
        </w:rPr>
        <w:t>only (ethanol or petrolatum)</w:t>
      </w:r>
      <w:r w:rsidR="001E5A52" w:rsidRPr="00963E0D">
        <w:rPr>
          <w:lang w:val="en-GB"/>
        </w:rPr>
        <w:t xml:space="preserve">. In addition, studies in humans examining cumulative irritancy, again over a period of 21 days, showed no responses in volunteers at concentrations up to 250 ppm when formulated in petrolatum. </w:t>
      </w:r>
      <w:r w:rsidR="006C4FA1" w:rsidRPr="00963E0D">
        <w:rPr>
          <w:lang w:val="en-GB"/>
        </w:rPr>
        <w:t>As additional support, s</w:t>
      </w:r>
      <w:r w:rsidR="001E5A52" w:rsidRPr="00963E0D">
        <w:rPr>
          <w:lang w:val="en-GB"/>
        </w:rPr>
        <w:t xml:space="preserve">tudies in which individuals have been exposed only on a single </w:t>
      </w:r>
      <w:r w:rsidR="006C4FA1" w:rsidRPr="00963E0D">
        <w:rPr>
          <w:lang w:val="en-GB"/>
        </w:rPr>
        <w:t>occasion</w:t>
      </w:r>
      <w:r w:rsidR="001E5A52" w:rsidRPr="00963E0D">
        <w:rPr>
          <w:lang w:val="en-GB"/>
        </w:rPr>
        <w:t xml:space="preserve"> to formulations containing DCOIT (re</w:t>
      </w:r>
      <w:r w:rsidR="00CD2303" w:rsidRPr="00963E0D">
        <w:rPr>
          <w:lang w:val="en-GB"/>
        </w:rPr>
        <w:t>-</w:t>
      </w:r>
      <w:r w:rsidR="001E5A52" w:rsidRPr="00963E0D">
        <w:rPr>
          <w:lang w:val="en-GB"/>
        </w:rPr>
        <w:t>challenge studies) indicate no irritant reactions were observed at 250 ppm (0.025%).  In sum</w:t>
      </w:r>
      <w:r w:rsidR="00695851" w:rsidRPr="00963E0D">
        <w:rPr>
          <w:lang w:val="en-GB"/>
        </w:rPr>
        <w:t>mary</w:t>
      </w:r>
      <w:r w:rsidR="001E5A52" w:rsidRPr="00963E0D">
        <w:rPr>
          <w:lang w:val="en-GB"/>
        </w:rPr>
        <w:t xml:space="preserve">, </w:t>
      </w:r>
      <w:r w:rsidR="006C4FA1" w:rsidRPr="00963E0D">
        <w:rPr>
          <w:lang w:val="en-GB"/>
        </w:rPr>
        <w:t>we</w:t>
      </w:r>
      <w:r w:rsidR="001E5A52" w:rsidRPr="00963E0D">
        <w:rPr>
          <w:lang w:val="en-GB"/>
        </w:rPr>
        <w:t xml:space="preserve"> conclude that 250ppm to 350 ppm is at or near the threshold for dermal irritation</w:t>
      </w:r>
      <w:r w:rsidR="00242F60" w:rsidRPr="00963E0D">
        <w:rPr>
          <w:lang w:val="en-GB"/>
        </w:rPr>
        <w:t xml:space="preserve"> </w:t>
      </w:r>
      <w:r w:rsidR="006C4FA1" w:rsidRPr="00963E0D">
        <w:rPr>
          <w:lang w:val="en-GB"/>
        </w:rPr>
        <w:t>and would propose a</w:t>
      </w:r>
      <w:r w:rsidR="00CD2303" w:rsidRPr="00963E0D">
        <w:rPr>
          <w:lang w:val="en-GB"/>
        </w:rPr>
        <w:t>n</w:t>
      </w:r>
      <w:r w:rsidR="006C4FA1" w:rsidRPr="00963E0D">
        <w:rPr>
          <w:lang w:val="en-GB"/>
        </w:rPr>
        <w:t xml:space="preserve"> SCL of 0.025%</w:t>
      </w:r>
      <w:r w:rsidR="008B2863">
        <w:rPr>
          <w:lang w:val="en-GB"/>
        </w:rPr>
        <w:t xml:space="preserve"> (250ppm)</w:t>
      </w:r>
      <w:r w:rsidR="006C4FA1" w:rsidRPr="00963E0D">
        <w:rPr>
          <w:lang w:val="en-GB"/>
        </w:rPr>
        <w:t>.</w:t>
      </w:r>
    </w:p>
    <w:p w14:paraId="21DBD0D3" w14:textId="77777777" w:rsidR="006C4FA1" w:rsidRPr="00963E0D" w:rsidRDefault="006C4FA1" w:rsidP="002559D0">
      <w:pPr>
        <w:jc w:val="both"/>
        <w:rPr>
          <w:lang w:val="en-GB"/>
        </w:rPr>
      </w:pPr>
    </w:p>
    <w:p w14:paraId="08E6E607" w14:textId="77777777" w:rsidR="006C4FA1" w:rsidRPr="00963E0D" w:rsidRDefault="006C4FA1" w:rsidP="002559D0">
      <w:pPr>
        <w:jc w:val="both"/>
        <w:rPr>
          <w:b/>
          <w:lang w:val="en-GB"/>
        </w:rPr>
      </w:pPr>
      <w:r w:rsidRPr="00963E0D">
        <w:rPr>
          <w:b/>
          <w:lang w:val="en-GB"/>
        </w:rPr>
        <w:t>Sensitisation</w:t>
      </w:r>
    </w:p>
    <w:p w14:paraId="1D1356F0" w14:textId="6365E847" w:rsidR="00386593" w:rsidRPr="00963E0D" w:rsidRDefault="005311C8" w:rsidP="002559D0">
      <w:pPr>
        <w:jc w:val="both"/>
        <w:rPr>
          <w:lang w:val="en-GB"/>
        </w:rPr>
      </w:pPr>
      <w:r w:rsidRPr="00963E0D">
        <w:rPr>
          <w:lang w:val="en-GB"/>
        </w:rPr>
        <w:t xml:space="preserve">We agree with the </w:t>
      </w:r>
      <w:r w:rsidR="000D3595">
        <w:rPr>
          <w:lang w:val="en-GB"/>
        </w:rPr>
        <w:t>D</w:t>
      </w:r>
      <w:r w:rsidR="000D3595" w:rsidRPr="00963E0D">
        <w:rPr>
          <w:lang w:val="en-GB"/>
        </w:rPr>
        <w:t xml:space="preserve">ossier </w:t>
      </w:r>
      <w:r w:rsidR="000D3595">
        <w:rPr>
          <w:lang w:val="en-GB"/>
        </w:rPr>
        <w:t>S</w:t>
      </w:r>
      <w:r w:rsidR="000D3595" w:rsidRPr="00963E0D">
        <w:rPr>
          <w:lang w:val="en-GB"/>
        </w:rPr>
        <w:t xml:space="preserve">ubmitter </w:t>
      </w:r>
      <w:r w:rsidRPr="00963E0D">
        <w:rPr>
          <w:lang w:val="en-GB"/>
        </w:rPr>
        <w:t xml:space="preserve">that on the basis of the animal data and principally the result of the </w:t>
      </w:r>
      <w:r w:rsidR="000D3595">
        <w:rPr>
          <w:lang w:val="en-GB"/>
        </w:rPr>
        <w:t xml:space="preserve">local lymph node assay </w:t>
      </w:r>
      <w:r w:rsidR="00CD2303" w:rsidRPr="00963E0D">
        <w:rPr>
          <w:lang w:val="en-GB"/>
        </w:rPr>
        <w:t>(</w:t>
      </w:r>
      <w:r w:rsidR="000D3595" w:rsidRPr="00963E0D">
        <w:rPr>
          <w:lang w:val="en-GB"/>
        </w:rPr>
        <w:t>LLNA</w:t>
      </w:r>
      <w:r w:rsidR="006F0376">
        <w:rPr>
          <w:lang w:val="en-GB"/>
        </w:rPr>
        <w:t xml:space="preserve">; </w:t>
      </w:r>
      <w:r w:rsidR="00CD2303" w:rsidRPr="00963E0D">
        <w:rPr>
          <w:lang w:val="en-GB"/>
        </w:rPr>
        <w:t>Thor, 2003)</w:t>
      </w:r>
      <w:r w:rsidRPr="00963E0D">
        <w:rPr>
          <w:lang w:val="en-GB"/>
        </w:rPr>
        <w:t xml:space="preserve">, the appropriate classification for DCOIT is as a Dermal </w:t>
      </w:r>
      <w:r w:rsidR="00CD2303" w:rsidRPr="00963E0D">
        <w:rPr>
          <w:lang w:val="en-GB"/>
        </w:rPr>
        <w:t xml:space="preserve">Sensitiser </w:t>
      </w:r>
      <w:r w:rsidRPr="00963E0D">
        <w:rPr>
          <w:lang w:val="en-GB"/>
        </w:rPr>
        <w:t>Subcategory 1A.</w:t>
      </w:r>
      <w:r w:rsidR="0065220D" w:rsidRPr="00963E0D">
        <w:rPr>
          <w:lang w:val="en-GB"/>
        </w:rPr>
        <w:t xml:space="preserve"> Furthermore the concentrations producing a positive response in both the LLNA and guinea pig maximization test would normally, in accordance with the guidance section 3.4.2.2.5, warrant assigning of extreme potency to DCOIT with a corresponding </w:t>
      </w:r>
      <w:r w:rsidR="000D3595">
        <w:rPr>
          <w:lang w:val="en-GB"/>
        </w:rPr>
        <w:t xml:space="preserve">default </w:t>
      </w:r>
      <w:r w:rsidR="0065220D" w:rsidRPr="00963E0D">
        <w:rPr>
          <w:lang w:val="en-GB"/>
        </w:rPr>
        <w:t xml:space="preserve">SCL </w:t>
      </w:r>
      <w:r w:rsidR="00DE560C" w:rsidRPr="00963E0D">
        <w:rPr>
          <w:lang w:val="en-GB"/>
        </w:rPr>
        <w:t>o</w:t>
      </w:r>
      <w:r w:rsidR="0065220D" w:rsidRPr="00963E0D">
        <w:rPr>
          <w:lang w:val="en-GB"/>
        </w:rPr>
        <w:t>f 0.001%. However</w:t>
      </w:r>
      <w:r w:rsidR="00CD2303" w:rsidRPr="00963E0D">
        <w:rPr>
          <w:lang w:val="en-GB"/>
        </w:rPr>
        <w:t>,</w:t>
      </w:r>
      <w:r w:rsidR="0065220D" w:rsidRPr="00963E0D">
        <w:rPr>
          <w:lang w:val="en-GB"/>
        </w:rPr>
        <w:t xml:space="preserve"> we</w:t>
      </w:r>
      <w:r w:rsidR="00386593" w:rsidRPr="00963E0D">
        <w:rPr>
          <w:lang w:val="en-GB"/>
        </w:rPr>
        <w:t xml:space="preserve"> also</w:t>
      </w:r>
      <w:r w:rsidR="0065220D" w:rsidRPr="00963E0D">
        <w:rPr>
          <w:lang w:val="en-GB"/>
        </w:rPr>
        <w:t xml:space="preserve"> believe that</w:t>
      </w:r>
      <w:r w:rsidR="00DE560C" w:rsidRPr="00963E0D">
        <w:rPr>
          <w:lang w:val="en-GB"/>
        </w:rPr>
        <w:t xml:space="preserve"> in arriving at an appropriate SCL, the </w:t>
      </w:r>
      <w:r w:rsidR="000D3595">
        <w:rPr>
          <w:lang w:val="en-GB"/>
        </w:rPr>
        <w:t>D</w:t>
      </w:r>
      <w:r w:rsidR="000D3595" w:rsidRPr="00963E0D">
        <w:rPr>
          <w:lang w:val="en-GB"/>
        </w:rPr>
        <w:t xml:space="preserve">ossier </w:t>
      </w:r>
      <w:r w:rsidR="000D3595">
        <w:rPr>
          <w:lang w:val="en-GB"/>
        </w:rPr>
        <w:t>S</w:t>
      </w:r>
      <w:r w:rsidR="000D3595" w:rsidRPr="00963E0D">
        <w:rPr>
          <w:lang w:val="en-GB"/>
        </w:rPr>
        <w:t xml:space="preserve">ubmitter </w:t>
      </w:r>
      <w:r w:rsidR="00DE560C" w:rsidRPr="00963E0D">
        <w:rPr>
          <w:lang w:val="en-GB"/>
        </w:rPr>
        <w:t xml:space="preserve">has </w:t>
      </w:r>
      <w:r w:rsidR="0039420A">
        <w:rPr>
          <w:lang w:val="en-GB"/>
        </w:rPr>
        <w:t>not taken account of</w:t>
      </w:r>
      <w:r w:rsidR="0039420A" w:rsidRPr="00963E0D">
        <w:rPr>
          <w:lang w:val="en-GB"/>
        </w:rPr>
        <w:t xml:space="preserve"> </w:t>
      </w:r>
      <w:r w:rsidR="00DE560C" w:rsidRPr="00963E0D">
        <w:rPr>
          <w:lang w:val="en-GB"/>
        </w:rPr>
        <w:t>significant evidence</w:t>
      </w:r>
      <w:r w:rsidR="0065220D" w:rsidRPr="00963E0D">
        <w:rPr>
          <w:lang w:val="en-GB"/>
        </w:rPr>
        <w:t xml:space="preserve"> presented that would indicate the true threshold for induction to be much higher than the default SCL </w:t>
      </w:r>
      <w:r w:rsidR="00386593" w:rsidRPr="00963E0D">
        <w:rPr>
          <w:lang w:val="en-GB"/>
        </w:rPr>
        <w:t xml:space="preserve">and that on the basis of available data an SCL of </w:t>
      </w:r>
      <w:r w:rsidR="00815D22" w:rsidRPr="00963E0D">
        <w:rPr>
          <w:lang w:val="en-GB"/>
        </w:rPr>
        <w:t>3</w:t>
      </w:r>
      <w:r w:rsidR="00386593" w:rsidRPr="00963E0D">
        <w:rPr>
          <w:lang w:val="en-GB"/>
        </w:rPr>
        <w:t>50ppm (0.0</w:t>
      </w:r>
      <w:r w:rsidR="00815D22" w:rsidRPr="00963E0D">
        <w:rPr>
          <w:lang w:val="en-GB"/>
        </w:rPr>
        <w:t>3</w:t>
      </w:r>
      <w:r w:rsidR="00386593" w:rsidRPr="00963E0D">
        <w:rPr>
          <w:lang w:val="en-GB"/>
        </w:rPr>
        <w:t>5%) would be more appropriate</w:t>
      </w:r>
      <w:r w:rsidR="00AD2D37" w:rsidRPr="00963E0D">
        <w:rPr>
          <w:lang w:val="en-GB"/>
        </w:rPr>
        <w:t>.</w:t>
      </w:r>
    </w:p>
    <w:p w14:paraId="09FAF81A" w14:textId="77777777" w:rsidR="00DE560C" w:rsidRPr="00963E0D" w:rsidRDefault="00386593" w:rsidP="00AD2D37">
      <w:pPr>
        <w:jc w:val="both"/>
        <w:rPr>
          <w:lang w:val="en-GB"/>
        </w:rPr>
      </w:pPr>
      <w:r w:rsidRPr="00963E0D">
        <w:rPr>
          <w:lang w:val="en-GB"/>
        </w:rPr>
        <w:t xml:space="preserve">We </w:t>
      </w:r>
      <w:r w:rsidR="00815D22" w:rsidRPr="00963E0D">
        <w:rPr>
          <w:lang w:val="en-GB"/>
        </w:rPr>
        <w:t xml:space="preserve">do </w:t>
      </w:r>
      <w:r w:rsidRPr="00963E0D">
        <w:rPr>
          <w:lang w:val="en-GB"/>
        </w:rPr>
        <w:t>note that t</w:t>
      </w:r>
      <w:r w:rsidR="0065220D" w:rsidRPr="00963E0D">
        <w:rPr>
          <w:lang w:val="en-GB"/>
        </w:rPr>
        <w:t xml:space="preserve">he </w:t>
      </w:r>
      <w:r w:rsidR="00DE560C" w:rsidRPr="00963E0D">
        <w:rPr>
          <w:lang w:val="en-GB"/>
        </w:rPr>
        <w:t xml:space="preserve">current </w:t>
      </w:r>
      <w:r w:rsidR="0065220D" w:rsidRPr="00963E0D">
        <w:rPr>
          <w:lang w:val="en-GB"/>
        </w:rPr>
        <w:t>guidance states ‘</w:t>
      </w:r>
      <w:r w:rsidR="0065220D" w:rsidRPr="00963E0D">
        <w:rPr>
          <w:i/>
          <w:lang w:val="en-GB"/>
        </w:rPr>
        <w:t>It is more difficult to prove the absence of sensitising properties at certain concentration levels. Therefore an SCL above the GCL may only be set in exceptional circumstances, if scientific information is adequate, reliable and conclusive for that particular skin sensitiser</w:t>
      </w:r>
      <w:r w:rsidR="0065220D" w:rsidRPr="00963E0D">
        <w:rPr>
          <w:lang w:val="en-GB"/>
        </w:rPr>
        <w:t>.’</w:t>
      </w:r>
      <w:r w:rsidR="00DE560C" w:rsidRPr="00963E0D">
        <w:rPr>
          <w:lang w:val="en-GB"/>
        </w:rPr>
        <w:t xml:space="preserve"> </w:t>
      </w:r>
      <w:r w:rsidR="00815D22" w:rsidRPr="00963E0D">
        <w:rPr>
          <w:lang w:val="en-GB"/>
        </w:rPr>
        <w:t>However, t</w:t>
      </w:r>
      <w:r w:rsidRPr="00963E0D">
        <w:rPr>
          <w:lang w:val="en-GB"/>
        </w:rPr>
        <w:t>he guidance also defines reliable data as workplace studies w</w:t>
      </w:r>
      <w:r w:rsidR="003D0711" w:rsidRPr="00963E0D">
        <w:rPr>
          <w:lang w:val="en-GB"/>
        </w:rPr>
        <w:t>h</w:t>
      </w:r>
      <w:r w:rsidRPr="00963E0D">
        <w:rPr>
          <w:lang w:val="en-GB"/>
        </w:rPr>
        <w:t xml:space="preserve">ere </w:t>
      </w:r>
      <w:r w:rsidRPr="00963E0D">
        <w:rPr>
          <w:u w:val="single"/>
          <w:lang w:val="en-GB"/>
        </w:rPr>
        <w:t xml:space="preserve">exposure is </w:t>
      </w:r>
      <w:r w:rsidR="00DE560C" w:rsidRPr="00963E0D">
        <w:rPr>
          <w:u w:val="single"/>
          <w:lang w:val="en-GB"/>
        </w:rPr>
        <w:t xml:space="preserve">clearly </w:t>
      </w:r>
      <w:r w:rsidRPr="00963E0D">
        <w:rPr>
          <w:u w:val="single"/>
          <w:lang w:val="en-GB"/>
        </w:rPr>
        <w:t>defined</w:t>
      </w:r>
      <w:r w:rsidRPr="00963E0D">
        <w:rPr>
          <w:lang w:val="en-GB"/>
        </w:rPr>
        <w:t xml:space="preserve">. </w:t>
      </w:r>
    </w:p>
    <w:p w14:paraId="7C0CB8C9" w14:textId="4F992D36" w:rsidR="0065220D" w:rsidRPr="00963E0D" w:rsidRDefault="00386593" w:rsidP="00AD2D37">
      <w:pPr>
        <w:jc w:val="both"/>
        <w:rPr>
          <w:lang w:val="en-GB"/>
        </w:rPr>
      </w:pPr>
      <w:r w:rsidRPr="00963E0D">
        <w:rPr>
          <w:lang w:val="en-GB"/>
        </w:rPr>
        <w:t>In the dossier several human studies are presented in which exposure is controlled and defined</w:t>
      </w:r>
      <w:r w:rsidR="00387FF2" w:rsidRPr="00963E0D">
        <w:rPr>
          <w:lang w:val="en-GB"/>
        </w:rPr>
        <w:t>. These data</w:t>
      </w:r>
      <w:r w:rsidRPr="00963E0D">
        <w:rPr>
          <w:lang w:val="en-GB"/>
        </w:rPr>
        <w:t xml:space="preserve"> allow better </w:t>
      </w:r>
      <w:r w:rsidR="00387FF2" w:rsidRPr="00963E0D">
        <w:rPr>
          <w:lang w:val="en-GB"/>
        </w:rPr>
        <w:t xml:space="preserve">characterisation </w:t>
      </w:r>
      <w:r w:rsidRPr="00963E0D">
        <w:rPr>
          <w:lang w:val="en-GB"/>
        </w:rPr>
        <w:t xml:space="preserve">of the </w:t>
      </w:r>
      <w:r w:rsidR="00DE560C" w:rsidRPr="00963E0D">
        <w:rPr>
          <w:lang w:val="en-GB"/>
        </w:rPr>
        <w:t xml:space="preserve">threshold for induction of </w:t>
      </w:r>
      <w:r w:rsidR="00387FF2" w:rsidRPr="00963E0D">
        <w:rPr>
          <w:lang w:val="en-GB"/>
        </w:rPr>
        <w:t xml:space="preserve">sensitisation </w:t>
      </w:r>
      <w:r w:rsidR="00DE560C" w:rsidRPr="00963E0D">
        <w:rPr>
          <w:lang w:val="en-GB"/>
        </w:rPr>
        <w:t xml:space="preserve">for DCOIT. This is also noted </w:t>
      </w:r>
      <w:r w:rsidR="00F416B6" w:rsidRPr="00963E0D">
        <w:rPr>
          <w:lang w:val="en-GB"/>
        </w:rPr>
        <w:t xml:space="preserve">by </w:t>
      </w:r>
      <w:r w:rsidR="00DE560C" w:rsidRPr="00963E0D">
        <w:rPr>
          <w:lang w:val="en-GB"/>
        </w:rPr>
        <w:t xml:space="preserve">the </w:t>
      </w:r>
      <w:r w:rsidR="000D3595">
        <w:rPr>
          <w:lang w:val="en-GB"/>
        </w:rPr>
        <w:t>D</w:t>
      </w:r>
      <w:r w:rsidR="000D3595" w:rsidRPr="00963E0D">
        <w:rPr>
          <w:lang w:val="en-GB"/>
        </w:rPr>
        <w:t xml:space="preserve">ossier </w:t>
      </w:r>
      <w:r w:rsidR="000D3595">
        <w:rPr>
          <w:lang w:val="en-GB"/>
        </w:rPr>
        <w:t>S</w:t>
      </w:r>
      <w:r w:rsidR="000D3595" w:rsidRPr="00963E0D">
        <w:rPr>
          <w:lang w:val="en-GB"/>
        </w:rPr>
        <w:t xml:space="preserve">ubmitter </w:t>
      </w:r>
      <w:r w:rsidR="00F416B6" w:rsidRPr="00963E0D">
        <w:rPr>
          <w:lang w:val="en-GB"/>
        </w:rPr>
        <w:t>who states</w:t>
      </w:r>
      <w:r w:rsidR="00DE560C" w:rsidRPr="00963E0D">
        <w:rPr>
          <w:lang w:val="en-GB"/>
        </w:rPr>
        <w:t xml:space="preserve"> </w:t>
      </w:r>
      <w:r w:rsidR="00494395" w:rsidRPr="00963E0D">
        <w:rPr>
          <w:lang w:val="en-GB"/>
        </w:rPr>
        <w:t xml:space="preserve">that the human studies suggest </w:t>
      </w:r>
      <w:r w:rsidR="00DE560C" w:rsidRPr="00963E0D">
        <w:rPr>
          <w:lang w:val="en-GB"/>
        </w:rPr>
        <w:t>the induction threshold appears to be at or below 0.0</w:t>
      </w:r>
      <w:r w:rsidR="00815D22" w:rsidRPr="00963E0D">
        <w:rPr>
          <w:lang w:val="en-GB"/>
        </w:rPr>
        <w:t>2</w:t>
      </w:r>
      <w:r w:rsidR="00DE560C" w:rsidRPr="00963E0D">
        <w:rPr>
          <w:lang w:val="en-GB"/>
        </w:rPr>
        <w:t>5%</w:t>
      </w:r>
      <w:r w:rsidR="00494395" w:rsidRPr="00963E0D">
        <w:rPr>
          <w:lang w:val="en-GB"/>
        </w:rPr>
        <w:t xml:space="preserve">. </w:t>
      </w:r>
    </w:p>
    <w:p w14:paraId="0F19F1D5" w14:textId="5B26C572" w:rsidR="00AD2D37" w:rsidRPr="00A001E4" w:rsidRDefault="00AD2D37" w:rsidP="00A001E4">
      <w:pPr>
        <w:spacing w:after="0" w:line="240" w:lineRule="auto"/>
        <w:jc w:val="both"/>
        <w:rPr>
          <w:rFonts w:cstheme="minorHAnsi"/>
          <w:lang w:val="en-GB"/>
        </w:rPr>
      </w:pPr>
      <w:r w:rsidRPr="0039420A">
        <w:rPr>
          <w:lang w:val="en-GB"/>
        </w:rPr>
        <w:t xml:space="preserve">Of the human studies presented, the </w:t>
      </w:r>
      <w:r w:rsidR="00281D12" w:rsidRPr="0039420A">
        <w:rPr>
          <w:lang w:val="en-GB"/>
        </w:rPr>
        <w:t>repeated insult patch test (</w:t>
      </w:r>
      <w:r w:rsidRPr="0039420A">
        <w:rPr>
          <w:lang w:val="en-GB"/>
        </w:rPr>
        <w:t>RIPT</w:t>
      </w:r>
      <w:r w:rsidR="00281D12" w:rsidRPr="0039420A">
        <w:rPr>
          <w:lang w:val="en-GB"/>
        </w:rPr>
        <w:t>)</w:t>
      </w:r>
      <w:r w:rsidRPr="0039420A">
        <w:rPr>
          <w:lang w:val="en-GB"/>
        </w:rPr>
        <w:t xml:space="preserve"> studies </w:t>
      </w:r>
      <w:r w:rsidR="006C2673" w:rsidRPr="0039420A">
        <w:rPr>
          <w:lang w:val="en-GB"/>
        </w:rPr>
        <w:t>(provided as confidential attachments</w:t>
      </w:r>
      <w:r w:rsidR="00A001E4">
        <w:rPr>
          <w:lang w:val="en-GB"/>
        </w:rPr>
        <w:t xml:space="preserve"> </w:t>
      </w:r>
      <w:r w:rsidR="00A001E4" w:rsidRPr="00306CD0">
        <w:rPr>
          <w:rFonts w:cstheme="minorHAnsi"/>
          <w:lang w:val="en-GB"/>
        </w:rPr>
        <w:t>A6_12_6_ref_06</w:t>
      </w:r>
      <w:r w:rsidR="00A001E4">
        <w:rPr>
          <w:rFonts w:cstheme="minorHAnsi"/>
          <w:lang w:val="en-GB"/>
        </w:rPr>
        <w:t>, A6_12_6_ref_07</w:t>
      </w:r>
      <w:r w:rsidR="006C2673" w:rsidRPr="0039420A">
        <w:rPr>
          <w:lang w:val="en-GB"/>
        </w:rPr>
        <w:t xml:space="preserve">) </w:t>
      </w:r>
      <w:r w:rsidRPr="0039420A">
        <w:rPr>
          <w:lang w:val="en-GB"/>
        </w:rPr>
        <w:t xml:space="preserve">can be considered the most reliable with respect to </w:t>
      </w:r>
      <w:r w:rsidR="00281D12" w:rsidRPr="0039420A">
        <w:rPr>
          <w:lang w:val="en-GB"/>
        </w:rPr>
        <w:t xml:space="preserve">characterisation </w:t>
      </w:r>
      <w:r w:rsidRPr="0039420A">
        <w:rPr>
          <w:lang w:val="en-GB"/>
        </w:rPr>
        <w:t>of the induction threshold of DCOIT</w:t>
      </w:r>
      <w:r w:rsidR="00D32931" w:rsidRPr="0039420A">
        <w:rPr>
          <w:lang w:val="en-GB"/>
        </w:rPr>
        <w:t xml:space="preserve"> since exposure is strictly controlled</w:t>
      </w:r>
      <w:r w:rsidRPr="0039420A">
        <w:rPr>
          <w:lang w:val="en-GB"/>
        </w:rPr>
        <w:t xml:space="preserve">. </w:t>
      </w:r>
      <w:r w:rsidR="00415752" w:rsidRPr="0039420A">
        <w:rPr>
          <w:lang w:val="en-GB"/>
        </w:rPr>
        <w:t>Here,</w:t>
      </w:r>
      <w:r w:rsidRPr="0039420A">
        <w:rPr>
          <w:lang w:val="en-GB"/>
        </w:rPr>
        <w:t xml:space="preserve"> groups of volunteers were exposed to 0.025% or 0.035% </w:t>
      </w:r>
      <w:r w:rsidR="0039420A">
        <w:rPr>
          <w:lang w:val="en-GB"/>
        </w:rPr>
        <w:t xml:space="preserve">DCOIT formulated in ethanol under occlusive patch conditions </w:t>
      </w:r>
      <w:r w:rsidRPr="0039420A">
        <w:rPr>
          <w:lang w:val="en-GB"/>
        </w:rPr>
        <w:t>repeatedly for 24 hours over a period of 21 days (9 applications in total). These test condition</w:t>
      </w:r>
      <w:r w:rsidR="00D32931" w:rsidRPr="0039420A">
        <w:rPr>
          <w:lang w:val="en-GB"/>
        </w:rPr>
        <w:t>s are in essence</w:t>
      </w:r>
      <w:r w:rsidRPr="0039420A">
        <w:rPr>
          <w:lang w:val="en-GB"/>
        </w:rPr>
        <w:t xml:space="preserve"> designed to </w:t>
      </w:r>
      <w:r w:rsidR="00415752" w:rsidRPr="00963E0D">
        <w:rPr>
          <w:lang w:val="en-GB"/>
        </w:rPr>
        <w:t xml:space="preserve">maximise </w:t>
      </w:r>
      <w:r w:rsidR="00D32931" w:rsidRPr="00963E0D">
        <w:rPr>
          <w:lang w:val="en-GB"/>
        </w:rPr>
        <w:t xml:space="preserve">dermal </w:t>
      </w:r>
      <w:r w:rsidR="002702A7" w:rsidRPr="00963E0D">
        <w:rPr>
          <w:lang w:val="en-GB"/>
        </w:rPr>
        <w:t xml:space="preserve">exposure to ‘force’ a response if DCOIT </w:t>
      </w:r>
      <w:r w:rsidR="00D32931" w:rsidRPr="00963E0D">
        <w:rPr>
          <w:lang w:val="en-GB"/>
        </w:rPr>
        <w:t>is</w:t>
      </w:r>
      <w:r w:rsidR="002702A7" w:rsidRPr="00963E0D">
        <w:rPr>
          <w:lang w:val="en-GB"/>
        </w:rPr>
        <w:t xml:space="preserve"> indeed a dermal sensitiser. It should be noted that these exaggerated exposure conditions would not be evident in the </w:t>
      </w:r>
      <w:r w:rsidR="002702A7" w:rsidRPr="00963E0D">
        <w:rPr>
          <w:lang w:val="en-GB"/>
        </w:rPr>
        <w:lastRenderedPageBreak/>
        <w:t>workplace during normal use of DCOIT</w:t>
      </w:r>
      <w:r w:rsidR="00415752" w:rsidRPr="00963E0D">
        <w:rPr>
          <w:lang w:val="en-GB"/>
        </w:rPr>
        <w:t>.</w:t>
      </w:r>
      <w:r w:rsidR="002702A7" w:rsidRPr="00963E0D">
        <w:rPr>
          <w:lang w:val="en-GB"/>
        </w:rPr>
        <w:t xml:space="preserve"> </w:t>
      </w:r>
      <w:r w:rsidR="00415752" w:rsidRPr="00963E0D">
        <w:rPr>
          <w:lang w:val="en-GB"/>
        </w:rPr>
        <w:t>T</w:t>
      </w:r>
      <w:r w:rsidR="002702A7" w:rsidRPr="00963E0D">
        <w:rPr>
          <w:lang w:val="en-GB"/>
        </w:rPr>
        <w:t>herefore a positive result in 1 or 2 individuals</w:t>
      </w:r>
      <w:r w:rsidR="00D32931" w:rsidRPr="00963E0D">
        <w:rPr>
          <w:lang w:val="en-GB"/>
        </w:rPr>
        <w:t xml:space="preserve"> in a controlled exposure study such as this</w:t>
      </w:r>
      <w:r w:rsidR="002702A7" w:rsidRPr="00963E0D">
        <w:rPr>
          <w:lang w:val="en-GB"/>
        </w:rPr>
        <w:t xml:space="preserve"> reflect</w:t>
      </w:r>
      <w:r w:rsidR="00415752" w:rsidRPr="00963E0D">
        <w:rPr>
          <w:lang w:val="en-GB"/>
        </w:rPr>
        <w:t>s</w:t>
      </w:r>
      <w:r w:rsidR="002702A7" w:rsidRPr="00963E0D">
        <w:rPr>
          <w:lang w:val="en-GB"/>
        </w:rPr>
        <w:t xml:space="preserve"> a highly protective</w:t>
      </w:r>
      <w:r w:rsidR="00D32931" w:rsidRPr="00963E0D">
        <w:rPr>
          <w:lang w:val="en-GB"/>
        </w:rPr>
        <w:t xml:space="preserve"> and</w:t>
      </w:r>
      <w:r w:rsidR="002702A7" w:rsidRPr="00963E0D">
        <w:rPr>
          <w:lang w:val="en-GB"/>
        </w:rPr>
        <w:t xml:space="preserve"> conservative induction threshold for DCOIT.</w:t>
      </w:r>
      <w:r w:rsidRPr="00963E0D">
        <w:rPr>
          <w:lang w:val="en-GB"/>
        </w:rPr>
        <w:t xml:space="preserve"> </w:t>
      </w:r>
    </w:p>
    <w:p w14:paraId="715F20C3" w14:textId="77777777" w:rsidR="00815D22" w:rsidRPr="00963E0D" w:rsidRDefault="00D32931" w:rsidP="00AD2D37">
      <w:pPr>
        <w:jc w:val="both"/>
        <w:rPr>
          <w:lang w:val="en-GB"/>
        </w:rPr>
      </w:pPr>
      <w:r w:rsidRPr="00963E0D">
        <w:rPr>
          <w:lang w:val="en-GB"/>
        </w:rPr>
        <w:t>In summary, t</w:t>
      </w:r>
      <w:r w:rsidR="002702A7" w:rsidRPr="00963E0D">
        <w:rPr>
          <w:lang w:val="en-GB"/>
        </w:rPr>
        <w:t xml:space="preserve">he results of the study indicated that 16/34 individuals repeatedly exposed to 0.025% DCOIT and 13/34 individuals repeatedly exposed to 0.035% DCOIT </w:t>
      </w:r>
      <w:r w:rsidR="003F0296" w:rsidRPr="00963E0D">
        <w:rPr>
          <w:lang w:val="en-GB"/>
        </w:rPr>
        <w:t>developed</w:t>
      </w:r>
      <w:r w:rsidR="002702A7" w:rsidRPr="00963E0D">
        <w:rPr>
          <w:lang w:val="en-GB"/>
        </w:rPr>
        <w:t xml:space="preserve"> dermal responses</w:t>
      </w:r>
      <w:r w:rsidR="003F0296" w:rsidRPr="00963E0D">
        <w:rPr>
          <w:lang w:val="en-GB"/>
        </w:rPr>
        <w:t xml:space="preserve"> at the site of exposure</w:t>
      </w:r>
      <w:r w:rsidR="00815D22" w:rsidRPr="00963E0D">
        <w:rPr>
          <w:lang w:val="en-GB"/>
        </w:rPr>
        <w:t xml:space="preserve">. Of the individuals showing dermal reactions </w:t>
      </w:r>
      <w:r w:rsidR="003F0296" w:rsidRPr="00963E0D">
        <w:rPr>
          <w:lang w:val="en-GB"/>
        </w:rPr>
        <w:t>the majority</w:t>
      </w:r>
      <w:r w:rsidR="00815D22" w:rsidRPr="00963E0D">
        <w:rPr>
          <w:lang w:val="en-GB"/>
        </w:rPr>
        <w:t xml:space="preserve"> were considered irritant reactions, however in order to clarify </w:t>
      </w:r>
      <w:r w:rsidR="002702A7" w:rsidRPr="00963E0D">
        <w:rPr>
          <w:lang w:val="en-GB"/>
        </w:rPr>
        <w:t>the nature of the dermal reaction</w:t>
      </w:r>
      <w:r w:rsidR="00815D22" w:rsidRPr="00963E0D">
        <w:rPr>
          <w:lang w:val="en-GB"/>
        </w:rPr>
        <w:t xml:space="preserve">s i.e. whether the response was due to simple irritation or whether it was a true </w:t>
      </w:r>
      <w:r w:rsidR="00CA1789" w:rsidRPr="00963E0D">
        <w:rPr>
          <w:lang w:val="en-GB"/>
        </w:rPr>
        <w:t xml:space="preserve">sensitisation </w:t>
      </w:r>
      <w:r w:rsidR="00815D22" w:rsidRPr="00963E0D">
        <w:rPr>
          <w:lang w:val="en-GB"/>
        </w:rPr>
        <w:t>response</w:t>
      </w:r>
      <w:r w:rsidR="004F4562">
        <w:rPr>
          <w:lang w:val="en-GB"/>
        </w:rPr>
        <w:t>,</w:t>
      </w:r>
      <w:r w:rsidR="00815D22" w:rsidRPr="00963E0D">
        <w:rPr>
          <w:lang w:val="en-GB"/>
        </w:rPr>
        <w:t xml:space="preserve"> </w:t>
      </w:r>
      <w:r w:rsidR="003F0296" w:rsidRPr="00963E0D">
        <w:rPr>
          <w:lang w:val="en-GB"/>
        </w:rPr>
        <w:t>1</w:t>
      </w:r>
      <w:r w:rsidR="00815D22" w:rsidRPr="00963E0D">
        <w:rPr>
          <w:lang w:val="en-GB"/>
        </w:rPr>
        <w:t>4 participants in total</w:t>
      </w:r>
      <w:r w:rsidR="002702A7" w:rsidRPr="00963E0D">
        <w:rPr>
          <w:lang w:val="en-GB"/>
        </w:rPr>
        <w:t xml:space="preserve"> </w:t>
      </w:r>
      <w:r w:rsidR="00815D22" w:rsidRPr="00963E0D">
        <w:rPr>
          <w:lang w:val="en-GB"/>
        </w:rPr>
        <w:t>(4 originally exposed to 0.025% and 10 to 0.035% DCOIT), were invited for further investigation.</w:t>
      </w:r>
    </w:p>
    <w:p w14:paraId="6978D55E" w14:textId="77777777" w:rsidR="002702A7" w:rsidRPr="00963E0D" w:rsidRDefault="003F0296" w:rsidP="00AD2D37">
      <w:pPr>
        <w:jc w:val="both"/>
        <w:rPr>
          <w:lang w:val="en-GB"/>
        </w:rPr>
      </w:pPr>
      <w:r w:rsidRPr="00963E0D">
        <w:rPr>
          <w:lang w:val="en-GB"/>
        </w:rPr>
        <w:t>Several of the participants decided not to participate in the re</w:t>
      </w:r>
      <w:r w:rsidR="00CA1789" w:rsidRPr="00963E0D">
        <w:rPr>
          <w:lang w:val="en-GB"/>
        </w:rPr>
        <w:t>-</w:t>
      </w:r>
      <w:r w:rsidRPr="00963E0D">
        <w:rPr>
          <w:lang w:val="en-GB"/>
        </w:rPr>
        <w:t>challenge protocol. However, o</w:t>
      </w:r>
      <w:r w:rsidR="00815D22" w:rsidRPr="00963E0D">
        <w:rPr>
          <w:lang w:val="en-GB"/>
        </w:rPr>
        <w:t>f the</w:t>
      </w:r>
      <w:r w:rsidRPr="00963E0D">
        <w:rPr>
          <w:lang w:val="en-GB"/>
        </w:rPr>
        <w:t xml:space="preserve"> </w:t>
      </w:r>
      <w:r w:rsidR="00815D22" w:rsidRPr="00963E0D">
        <w:rPr>
          <w:lang w:val="en-GB"/>
        </w:rPr>
        <w:t>participants returning for further investigation</w:t>
      </w:r>
      <w:r w:rsidRPr="00963E0D">
        <w:rPr>
          <w:lang w:val="en-GB"/>
        </w:rPr>
        <w:t xml:space="preserve">, </w:t>
      </w:r>
      <w:r w:rsidR="00815D22" w:rsidRPr="00963E0D">
        <w:rPr>
          <w:lang w:val="en-GB"/>
        </w:rPr>
        <w:t xml:space="preserve">all </w:t>
      </w:r>
      <w:r w:rsidRPr="00963E0D">
        <w:rPr>
          <w:lang w:val="en-GB"/>
        </w:rPr>
        <w:t xml:space="preserve">those that did </w:t>
      </w:r>
      <w:r w:rsidR="00963E0D">
        <w:rPr>
          <w:lang w:val="en-GB"/>
        </w:rPr>
        <w:t xml:space="preserve">were </w:t>
      </w:r>
      <w:r w:rsidR="004F4562">
        <w:rPr>
          <w:lang w:val="en-GB"/>
        </w:rPr>
        <w:t>individuals</w:t>
      </w:r>
      <w:r w:rsidR="004F4562" w:rsidRPr="00963E0D">
        <w:rPr>
          <w:lang w:val="en-GB"/>
        </w:rPr>
        <w:t xml:space="preserve"> </w:t>
      </w:r>
      <w:r w:rsidRPr="00963E0D">
        <w:rPr>
          <w:lang w:val="en-GB"/>
        </w:rPr>
        <w:t xml:space="preserve">who exhibited dermal responses following </w:t>
      </w:r>
      <w:r w:rsidR="00037815" w:rsidRPr="00963E0D">
        <w:rPr>
          <w:lang w:val="en-GB"/>
        </w:rPr>
        <w:t>enrolment</w:t>
      </w:r>
      <w:r w:rsidR="00815D22" w:rsidRPr="00963E0D">
        <w:rPr>
          <w:lang w:val="en-GB"/>
        </w:rPr>
        <w:t xml:space="preserve"> in the induction protocol involving repeated exposure to 0.035%</w:t>
      </w:r>
      <w:r w:rsidR="00D32931" w:rsidRPr="00963E0D">
        <w:rPr>
          <w:lang w:val="en-GB"/>
        </w:rPr>
        <w:t>, the highest dose tested</w:t>
      </w:r>
      <w:r w:rsidR="00963E0D">
        <w:rPr>
          <w:lang w:val="en-GB"/>
        </w:rPr>
        <w:t xml:space="preserve"> in the induction phase</w:t>
      </w:r>
      <w:r w:rsidR="00815D22" w:rsidRPr="00963E0D">
        <w:rPr>
          <w:lang w:val="en-GB"/>
        </w:rPr>
        <w:t xml:space="preserve">.   </w:t>
      </w:r>
    </w:p>
    <w:p w14:paraId="5B9E7327" w14:textId="77777777" w:rsidR="00D32931" w:rsidRPr="00963E0D" w:rsidRDefault="00D32931" w:rsidP="00AD2D37">
      <w:pPr>
        <w:jc w:val="both"/>
        <w:rPr>
          <w:lang w:val="en-GB"/>
        </w:rPr>
      </w:pPr>
      <w:r w:rsidRPr="00963E0D">
        <w:rPr>
          <w:lang w:val="en-GB"/>
        </w:rPr>
        <w:t>Of the participants returning for re</w:t>
      </w:r>
      <w:r w:rsidR="00CA1789" w:rsidRPr="00963E0D">
        <w:rPr>
          <w:lang w:val="en-GB"/>
        </w:rPr>
        <w:t>-</w:t>
      </w:r>
      <w:r w:rsidRPr="00963E0D">
        <w:rPr>
          <w:lang w:val="en-GB"/>
        </w:rPr>
        <w:t xml:space="preserve">challenge the majority did not exhibit further dermatological reactions. This would indicate that for these individuals the original dermal response was irritation since a true allergic response would result in elicitation </w:t>
      </w:r>
      <w:r w:rsidR="003F0296" w:rsidRPr="00963E0D">
        <w:rPr>
          <w:lang w:val="en-GB"/>
        </w:rPr>
        <w:t xml:space="preserve">of a dermal response </w:t>
      </w:r>
      <w:r w:rsidRPr="00963E0D">
        <w:rPr>
          <w:lang w:val="en-GB"/>
        </w:rPr>
        <w:t>upon re</w:t>
      </w:r>
      <w:r w:rsidR="00CA1789" w:rsidRPr="00963E0D">
        <w:rPr>
          <w:lang w:val="en-GB"/>
        </w:rPr>
        <w:t>-</w:t>
      </w:r>
      <w:r w:rsidRPr="00963E0D">
        <w:rPr>
          <w:lang w:val="en-GB"/>
        </w:rPr>
        <w:t>challenge.</w:t>
      </w:r>
    </w:p>
    <w:p w14:paraId="68B4909B" w14:textId="77777777" w:rsidR="00D32931" w:rsidRPr="00963E0D" w:rsidRDefault="00D32931" w:rsidP="00AD2D37">
      <w:pPr>
        <w:jc w:val="both"/>
        <w:rPr>
          <w:lang w:val="en-GB"/>
        </w:rPr>
      </w:pPr>
      <w:r w:rsidRPr="00963E0D">
        <w:rPr>
          <w:lang w:val="en-GB"/>
        </w:rPr>
        <w:t xml:space="preserve">Three individuals </w:t>
      </w:r>
      <w:r w:rsidR="00963E0D">
        <w:rPr>
          <w:lang w:val="en-GB"/>
        </w:rPr>
        <w:t xml:space="preserve">however </w:t>
      </w:r>
      <w:r w:rsidRPr="00963E0D">
        <w:rPr>
          <w:lang w:val="en-GB"/>
        </w:rPr>
        <w:t>did exhibit dermal responses on re</w:t>
      </w:r>
      <w:r w:rsidR="00CA1789" w:rsidRPr="00963E0D">
        <w:rPr>
          <w:lang w:val="en-GB"/>
        </w:rPr>
        <w:t>-</w:t>
      </w:r>
      <w:r w:rsidRPr="00963E0D">
        <w:rPr>
          <w:lang w:val="en-GB"/>
        </w:rPr>
        <w:t>challenge</w:t>
      </w:r>
      <w:r w:rsidR="00963E0D">
        <w:rPr>
          <w:lang w:val="en-GB"/>
        </w:rPr>
        <w:t>. Of these 3 volunteers</w:t>
      </w:r>
      <w:r w:rsidRPr="00963E0D">
        <w:rPr>
          <w:lang w:val="en-GB"/>
        </w:rPr>
        <w:t xml:space="preserve"> 2 were also noted to react to</w:t>
      </w:r>
      <w:r w:rsidR="00963E0D">
        <w:rPr>
          <w:lang w:val="en-GB"/>
        </w:rPr>
        <w:t xml:space="preserve"> the</w:t>
      </w:r>
      <w:r w:rsidRPr="00963E0D">
        <w:rPr>
          <w:lang w:val="en-GB"/>
        </w:rPr>
        <w:t xml:space="preserve"> vehicle alone calling into question whether the dermal reactions in these individuals were due to the presence of DCOIT or were</w:t>
      </w:r>
      <w:r w:rsidR="00963E0D">
        <w:rPr>
          <w:lang w:val="en-GB"/>
        </w:rPr>
        <w:t xml:space="preserve"> in fact</w:t>
      </w:r>
      <w:r w:rsidRPr="00963E0D">
        <w:rPr>
          <w:lang w:val="en-GB"/>
        </w:rPr>
        <w:t xml:space="preserve"> due to the irritant nature of the vehicles used.</w:t>
      </w:r>
    </w:p>
    <w:p w14:paraId="721C8AA8" w14:textId="77777777" w:rsidR="00D32931" w:rsidRPr="00963E0D" w:rsidRDefault="00D32931" w:rsidP="00AD2D37">
      <w:pPr>
        <w:jc w:val="both"/>
        <w:rPr>
          <w:lang w:val="en-GB"/>
        </w:rPr>
      </w:pPr>
      <w:r w:rsidRPr="00963E0D">
        <w:rPr>
          <w:lang w:val="en-GB"/>
        </w:rPr>
        <w:t>Therefore</w:t>
      </w:r>
      <w:r w:rsidR="00CA1789" w:rsidRPr="00963E0D">
        <w:rPr>
          <w:lang w:val="en-GB"/>
        </w:rPr>
        <w:t>,</w:t>
      </w:r>
      <w:r w:rsidRPr="00963E0D">
        <w:rPr>
          <w:lang w:val="en-GB"/>
        </w:rPr>
        <w:t xml:space="preserve"> in conclusion only 1/34 individuals (Subject No. 10) showed a clear </w:t>
      </w:r>
      <w:r w:rsidR="00E6700A" w:rsidRPr="00963E0D">
        <w:rPr>
          <w:lang w:val="en-GB"/>
        </w:rPr>
        <w:t xml:space="preserve">and confirmed </w:t>
      </w:r>
      <w:r w:rsidRPr="00963E0D">
        <w:rPr>
          <w:lang w:val="en-GB"/>
        </w:rPr>
        <w:t>allergic response upon exposure to DCOIT following repeated,</w:t>
      </w:r>
      <w:r w:rsidR="00E6700A" w:rsidRPr="00963E0D">
        <w:rPr>
          <w:lang w:val="en-GB"/>
        </w:rPr>
        <w:t xml:space="preserve"> occluded</w:t>
      </w:r>
      <w:r w:rsidRPr="00963E0D">
        <w:rPr>
          <w:lang w:val="en-GB"/>
        </w:rPr>
        <w:t xml:space="preserve"> exposure </w:t>
      </w:r>
      <w:r w:rsidR="00CA1789" w:rsidRPr="00963E0D">
        <w:rPr>
          <w:lang w:val="en-GB"/>
        </w:rPr>
        <w:t xml:space="preserve">to </w:t>
      </w:r>
      <w:r w:rsidRPr="00963E0D">
        <w:rPr>
          <w:lang w:val="en-GB"/>
        </w:rPr>
        <w:t>0.035%</w:t>
      </w:r>
      <w:r w:rsidR="00CA1789" w:rsidRPr="00963E0D">
        <w:rPr>
          <w:lang w:val="en-GB"/>
        </w:rPr>
        <w:t xml:space="preserve"> DCOIT</w:t>
      </w:r>
      <w:r w:rsidR="003F0296" w:rsidRPr="00963E0D">
        <w:rPr>
          <w:lang w:val="en-GB"/>
        </w:rPr>
        <w:t xml:space="preserve"> under significantly exaggerated exposure conditions</w:t>
      </w:r>
      <w:r w:rsidRPr="00963E0D">
        <w:rPr>
          <w:lang w:val="en-GB"/>
        </w:rPr>
        <w:t>.</w:t>
      </w:r>
      <w:r w:rsidR="00E6700A" w:rsidRPr="00963E0D">
        <w:rPr>
          <w:lang w:val="en-GB"/>
        </w:rPr>
        <w:t xml:space="preserve"> </w:t>
      </w:r>
    </w:p>
    <w:p w14:paraId="4C005501" w14:textId="77777777" w:rsidR="00D32931" w:rsidRPr="00963E0D" w:rsidRDefault="00E6700A" w:rsidP="00E6700A">
      <w:pPr>
        <w:pStyle w:val="CM1"/>
        <w:spacing w:before="200" w:after="200"/>
        <w:jc w:val="both"/>
        <w:rPr>
          <w:rFonts w:asciiTheme="minorHAnsi" w:hAnsiTheme="minorHAnsi" w:cstheme="minorHAnsi"/>
          <w:color w:val="000000"/>
          <w:sz w:val="22"/>
          <w:szCs w:val="22"/>
          <w:lang w:val="en-GB"/>
        </w:rPr>
      </w:pPr>
      <w:r w:rsidRPr="00963E0D">
        <w:rPr>
          <w:rFonts w:asciiTheme="minorHAnsi" w:hAnsiTheme="minorHAnsi" w:cstheme="minorHAnsi"/>
          <w:sz w:val="22"/>
          <w:szCs w:val="22"/>
          <w:lang w:val="en-GB"/>
        </w:rPr>
        <w:t xml:space="preserve">According to Article 10 </w:t>
      </w:r>
      <w:r w:rsidR="00CA1789" w:rsidRPr="00963E0D">
        <w:rPr>
          <w:rFonts w:asciiTheme="minorHAnsi" w:hAnsiTheme="minorHAnsi" w:cstheme="minorHAnsi"/>
          <w:sz w:val="22"/>
          <w:szCs w:val="22"/>
          <w:lang w:val="en-GB"/>
        </w:rPr>
        <w:t xml:space="preserve">of the CLP Regulation (EU No. </w:t>
      </w:r>
      <w:r w:rsidRPr="00963E0D">
        <w:rPr>
          <w:rFonts w:asciiTheme="minorHAnsi" w:hAnsiTheme="minorHAnsi" w:cstheme="minorHAnsi"/>
          <w:sz w:val="22"/>
          <w:szCs w:val="22"/>
          <w:lang w:val="en-GB"/>
        </w:rPr>
        <w:t>1272/2008</w:t>
      </w:r>
      <w:r w:rsidR="00CA1789" w:rsidRPr="00963E0D">
        <w:rPr>
          <w:rFonts w:asciiTheme="minorHAnsi" w:hAnsiTheme="minorHAnsi" w:cstheme="minorHAnsi"/>
          <w:sz w:val="22"/>
          <w:szCs w:val="22"/>
          <w:lang w:val="en-GB"/>
        </w:rPr>
        <w:t>)</w:t>
      </w:r>
      <w:r w:rsidRPr="00963E0D">
        <w:rPr>
          <w:rFonts w:asciiTheme="minorHAnsi" w:hAnsiTheme="minorHAnsi" w:cstheme="minorHAnsi"/>
          <w:sz w:val="22"/>
          <w:szCs w:val="22"/>
          <w:lang w:val="en-GB"/>
        </w:rPr>
        <w:t xml:space="preserve"> ‘</w:t>
      </w:r>
      <w:r w:rsidRPr="00963E0D">
        <w:rPr>
          <w:rFonts w:asciiTheme="minorHAnsi" w:hAnsiTheme="minorHAnsi" w:cstheme="minorHAnsi"/>
          <w:i/>
          <w:sz w:val="22"/>
          <w:szCs w:val="22"/>
          <w:lang w:val="en-GB"/>
        </w:rPr>
        <w:t>s</w:t>
      </w:r>
      <w:r w:rsidRPr="00963E0D">
        <w:rPr>
          <w:rFonts w:asciiTheme="minorHAnsi" w:hAnsiTheme="minorHAnsi" w:cstheme="minorHAnsi"/>
          <w:i/>
          <w:color w:val="000000"/>
          <w:sz w:val="22"/>
          <w:szCs w:val="22"/>
          <w:lang w:val="en-GB"/>
        </w:rPr>
        <w:t>pecific concentration limits and generic concentration limits are limits assigned to a substance indicating a threshold at or above which the presence of that substance in another substance or in a mixture as an identified impurity, additive or individual constituent leads to the classification of the substance or mixture as hazardous</w:t>
      </w:r>
      <w:r w:rsidRPr="00963E0D">
        <w:rPr>
          <w:rFonts w:asciiTheme="minorHAnsi" w:hAnsiTheme="minorHAnsi" w:cstheme="minorHAnsi"/>
          <w:color w:val="000000"/>
          <w:sz w:val="22"/>
          <w:szCs w:val="22"/>
          <w:lang w:val="en-GB"/>
        </w:rPr>
        <w:t>.’</w:t>
      </w:r>
    </w:p>
    <w:p w14:paraId="43C9D883" w14:textId="6C7F2C24" w:rsidR="00D32931" w:rsidRDefault="00E6700A" w:rsidP="00E6700A">
      <w:pPr>
        <w:jc w:val="both"/>
        <w:rPr>
          <w:rFonts w:cstheme="minorHAnsi"/>
          <w:lang w:val="en-GB"/>
        </w:rPr>
      </w:pPr>
      <w:r w:rsidRPr="00963E0D">
        <w:rPr>
          <w:rFonts w:cstheme="minorHAnsi"/>
          <w:lang w:val="en-GB"/>
        </w:rPr>
        <w:t>The scientific evidence presented indicate</w:t>
      </w:r>
      <w:r w:rsidR="00CA1789" w:rsidRPr="00963E0D">
        <w:rPr>
          <w:rFonts w:cstheme="minorHAnsi"/>
          <w:lang w:val="en-GB"/>
        </w:rPr>
        <w:t>s</w:t>
      </w:r>
      <w:r w:rsidRPr="00963E0D">
        <w:rPr>
          <w:rFonts w:cstheme="minorHAnsi"/>
          <w:lang w:val="en-GB"/>
        </w:rPr>
        <w:t xml:space="preserve"> that the threshold for induction </w:t>
      </w:r>
      <w:r w:rsidR="00D04CAD" w:rsidRPr="00963E0D">
        <w:rPr>
          <w:rFonts w:cstheme="minorHAnsi"/>
          <w:lang w:val="en-GB"/>
        </w:rPr>
        <w:t xml:space="preserve">of dermal sensitisation </w:t>
      </w:r>
      <w:r w:rsidRPr="00963E0D">
        <w:rPr>
          <w:rFonts w:cstheme="minorHAnsi"/>
          <w:lang w:val="en-GB"/>
        </w:rPr>
        <w:t>for DCOIT is significantly greater than the default SCL of 0.001%</w:t>
      </w:r>
      <w:r w:rsidR="00D04CAD" w:rsidRPr="00963E0D">
        <w:rPr>
          <w:rFonts w:cstheme="minorHAnsi"/>
          <w:lang w:val="en-GB"/>
        </w:rPr>
        <w:t>.</w:t>
      </w:r>
      <w:r w:rsidRPr="00963E0D">
        <w:rPr>
          <w:rFonts w:cstheme="minorHAnsi"/>
          <w:lang w:val="en-GB"/>
        </w:rPr>
        <w:t xml:space="preserve"> </w:t>
      </w:r>
      <w:r w:rsidR="00D04CAD" w:rsidRPr="00963E0D">
        <w:rPr>
          <w:rFonts w:cstheme="minorHAnsi"/>
          <w:lang w:val="en-GB"/>
        </w:rPr>
        <w:t>F</w:t>
      </w:r>
      <w:r w:rsidR="003F0296" w:rsidRPr="00963E0D">
        <w:rPr>
          <w:rFonts w:cstheme="minorHAnsi"/>
          <w:lang w:val="en-GB"/>
        </w:rPr>
        <w:t>urthermore</w:t>
      </w:r>
      <w:r w:rsidRPr="00963E0D">
        <w:rPr>
          <w:rFonts w:cstheme="minorHAnsi"/>
          <w:lang w:val="en-GB"/>
        </w:rPr>
        <w:t xml:space="preserve">, based on the evidence presented, an SCL of 0.035% </w:t>
      </w:r>
      <w:r w:rsidR="006F0376">
        <w:rPr>
          <w:rFonts w:cstheme="minorHAnsi"/>
          <w:lang w:val="en-GB"/>
        </w:rPr>
        <w:t>(350ppm)</w:t>
      </w:r>
      <w:r w:rsidR="008C70C8">
        <w:rPr>
          <w:rFonts w:cstheme="minorHAnsi"/>
          <w:lang w:val="en-GB"/>
        </w:rPr>
        <w:t xml:space="preserve"> </w:t>
      </w:r>
      <w:r w:rsidRPr="00963E0D">
        <w:rPr>
          <w:rFonts w:cstheme="minorHAnsi"/>
          <w:lang w:val="en-GB"/>
        </w:rPr>
        <w:t>would be most appropriate</w:t>
      </w:r>
      <w:r w:rsidR="003F0296" w:rsidRPr="00963E0D">
        <w:rPr>
          <w:rFonts w:cstheme="minorHAnsi"/>
          <w:lang w:val="en-GB"/>
        </w:rPr>
        <w:t xml:space="preserve"> as defined in </w:t>
      </w:r>
      <w:r w:rsidR="00D04CAD" w:rsidRPr="00963E0D">
        <w:rPr>
          <w:rFonts w:cstheme="minorHAnsi"/>
          <w:lang w:val="en-GB"/>
        </w:rPr>
        <w:t xml:space="preserve">relevant human </w:t>
      </w:r>
      <w:r w:rsidR="003F0296" w:rsidRPr="00963E0D">
        <w:rPr>
          <w:rFonts w:cstheme="minorHAnsi"/>
          <w:lang w:val="en-GB"/>
        </w:rPr>
        <w:t xml:space="preserve">studies in which exposure to DCOIT was strictly controlled and thus allows for accurate </w:t>
      </w:r>
      <w:r w:rsidR="00D04CAD" w:rsidRPr="00963E0D">
        <w:rPr>
          <w:rFonts w:cstheme="minorHAnsi"/>
          <w:lang w:val="en-GB"/>
        </w:rPr>
        <w:t xml:space="preserve">characterisation </w:t>
      </w:r>
      <w:r w:rsidR="003F0296" w:rsidRPr="00963E0D">
        <w:rPr>
          <w:rFonts w:cstheme="minorHAnsi"/>
          <w:lang w:val="en-GB"/>
        </w:rPr>
        <w:t>of the induction threshold</w:t>
      </w:r>
      <w:r w:rsidRPr="00963E0D">
        <w:rPr>
          <w:rFonts w:cstheme="minorHAnsi"/>
          <w:lang w:val="en-GB"/>
        </w:rPr>
        <w:t>.</w:t>
      </w:r>
    </w:p>
    <w:p w14:paraId="58E97508" w14:textId="77777777" w:rsidR="001F0127" w:rsidRDefault="001F0127" w:rsidP="00E6700A">
      <w:pPr>
        <w:jc w:val="both"/>
        <w:rPr>
          <w:rFonts w:cstheme="minorHAnsi"/>
          <w:b/>
          <w:lang w:val="en-GB"/>
        </w:rPr>
      </w:pPr>
    </w:p>
    <w:p w14:paraId="049D2F9C" w14:textId="3C7CDC9B" w:rsidR="00306CD0" w:rsidRPr="00306CD0" w:rsidRDefault="00FC5B1B" w:rsidP="00E6700A">
      <w:pPr>
        <w:jc w:val="both"/>
        <w:rPr>
          <w:rFonts w:cstheme="minorHAnsi"/>
          <w:b/>
          <w:lang w:val="en-GB"/>
        </w:rPr>
      </w:pPr>
      <w:r>
        <w:rPr>
          <w:rFonts w:cstheme="minorHAnsi"/>
          <w:b/>
          <w:lang w:val="en-GB"/>
        </w:rPr>
        <w:t>Please see c</w:t>
      </w:r>
      <w:r w:rsidR="00306CD0" w:rsidRPr="00306CD0">
        <w:rPr>
          <w:rFonts w:cstheme="minorHAnsi"/>
          <w:b/>
          <w:lang w:val="en-GB"/>
        </w:rPr>
        <w:t>onfidential references provided</w:t>
      </w:r>
      <w:r>
        <w:rPr>
          <w:rFonts w:cstheme="minorHAnsi"/>
          <w:b/>
          <w:lang w:val="en-GB"/>
        </w:rPr>
        <w:t xml:space="preserve"> in support of information presented</w:t>
      </w:r>
      <w:r w:rsidR="00306CD0" w:rsidRPr="00306CD0">
        <w:rPr>
          <w:rFonts w:cstheme="minorHAnsi"/>
          <w:b/>
          <w:lang w:val="en-GB"/>
        </w:rPr>
        <w:t xml:space="preserve">: </w:t>
      </w:r>
    </w:p>
    <w:p w14:paraId="37B4C744" w14:textId="1D381458" w:rsidR="00306CD0" w:rsidRPr="00306CD0" w:rsidRDefault="00306CD0" w:rsidP="00306CD0">
      <w:pPr>
        <w:spacing w:after="0" w:line="240" w:lineRule="auto"/>
        <w:jc w:val="both"/>
        <w:rPr>
          <w:rFonts w:cstheme="minorHAnsi"/>
          <w:lang w:val="en-GB"/>
        </w:rPr>
      </w:pPr>
      <w:r w:rsidRPr="00306CD0">
        <w:rPr>
          <w:rFonts w:cstheme="minorHAnsi"/>
          <w:lang w:val="en-GB"/>
        </w:rPr>
        <w:t>A6_12_6_ref_06</w:t>
      </w:r>
    </w:p>
    <w:p w14:paraId="4904D95A" w14:textId="7D505F6B" w:rsidR="00306CD0" w:rsidRPr="00306CD0" w:rsidRDefault="00306CD0" w:rsidP="00306CD0">
      <w:pPr>
        <w:spacing w:after="0" w:line="240" w:lineRule="auto"/>
        <w:jc w:val="both"/>
        <w:rPr>
          <w:rFonts w:cstheme="minorHAnsi"/>
          <w:lang w:val="en-GB"/>
        </w:rPr>
      </w:pPr>
      <w:r w:rsidRPr="00306CD0">
        <w:rPr>
          <w:rFonts w:cstheme="minorHAnsi"/>
          <w:lang w:val="en-GB"/>
        </w:rPr>
        <w:t>A6_12_6_ref_07</w:t>
      </w:r>
    </w:p>
    <w:p w14:paraId="5A131B0D" w14:textId="77777777" w:rsidR="00306CD0" w:rsidRPr="00963E0D" w:rsidRDefault="00306CD0" w:rsidP="00306CD0">
      <w:pPr>
        <w:jc w:val="both"/>
        <w:rPr>
          <w:lang w:val="en-GB"/>
        </w:rPr>
      </w:pPr>
    </w:p>
    <w:p w14:paraId="61DF27C0" w14:textId="77777777" w:rsidR="00306CD0" w:rsidRPr="00963E0D" w:rsidRDefault="00306CD0" w:rsidP="00E6700A">
      <w:pPr>
        <w:jc w:val="both"/>
        <w:rPr>
          <w:lang w:val="en-GB"/>
        </w:rPr>
      </w:pPr>
    </w:p>
    <w:sectPr w:rsidR="00306CD0" w:rsidRPr="00963E0D" w:rsidSect="00963E0D">
      <w:headerReference w:type="even" r:id="rId8"/>
      <w:headerReference w:type="default" r:id="rId9"/>
      <w:footerReference w:type="even" r:id="rId10"/>
      <w:footerReference w:type="default" r:id="rId11"/>
      <w:headerReference w:type="first" r:id="rId12"/>
      <w:footerReference w:type="first" r:id="rId13"/>
      <w:pgSz w:w="12240" w:h="15840" w:code="1"/>
      <w:pgMar w:top="1411" w:right="1411" w:bottom="1138" w:left="141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A6FBB" w14:textId="77777777" w:rsidR="00362E75" w:rsidRDefault="00362E75" w:rsidP="00992F5C">
      <w:pPr>
        <w:spacing w:after="0" w:line="240" w:lineRule="auto"/>
      </w:pPr>
      <w:r>
        <w:separator/>
      </w:r>
    </w:p>
  </w:endnote>
  <w:endnote w:type="continuationSeparator" w:id="0">
    <w:p w14:paraId="272EB2ED" w14:textId="77777777" w:rsidR="00362E75" w:rsidRDefault="00362E75" w:rsidP="00992F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E9CAC" w14:textId="77777777" w:rsidR="00A75253" w:rsidRDefault="00A752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92984" w14:textId="77777777" w:rsidR="00A75253" w:rsidRDefault="00A7525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BEBFA" w14:textId="77777777" w:rsidR="0039420A" w:rsidRDefault="004F4562">
    <w:pPr>
      <w:pStyle w:val="Footer"/>
    </w:pPr>
    <w:r>
      <w:rPr>
        <w:rFonts w:eastAsia="Times New Roman"/>
        <w:i/>
        <w:iCs/>
      </w:rPr>
      <w:t xml:space="preserve">* Guidance on the application of the CLP Criteria: Guidance to Regulation (EC) No 1272/2008 on classification, </w:t>
    </w:r>
    <w:r w:rsidRPr="0039420A">
      <w:rPr>
        <w:rFonts w:eastAsia="Times New Roman"/>
        <w:i/>
        <w:iCs/>
      </w:rPr>
      <w:t>labelling</w:t>
    </w:r>
    <w:r>
      <w:rPr>
        <w:rFonts w:eastAsia="Times New Roman"/>
        <w:i/>
        <w:iCs/>
      </w:rPr>
      <w:t xml:space="preserve"> and packaging (CLP) of substances and mixtures.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7FFE0" w14:textId="77777777" w:rsidR="00362E75" w:rsidRDefault="00362E75" w:rsidP="00992F5C">
      <w:pPr>
        <w:spacing w:after="0" w:line="240" w:lineRule="auto"/>
      </w:pPr>
      <w:r>
        <w:separator/>
      </w:r>
    </w:p>
  </w:footnote>
  <w:footnote w:type="continuationSeparator" w:id="0">
    <w:p w14:paraId="3688A660" w14:textId="77777777" w:rsidR="00362E75" w:rsidRDefault="00362E75" w:rsidP="00992F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CECE4" w14:textId="77777777" w:rsidR="00A75253" w:rsidRDefault="00A752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9DEF86" w14:textId="77777777" w:rsidR="00A75253" w:rsidRDefault="00A7525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6C134" w14:textId="77777777" w:rsidR="00A75253" w:rsidRDefault="00A752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8D23F7"/>
    <w:multiLevelType w:val="hybridMultilevel"/>
    <w:tmpl w:val="FD429406"/>
    <w:lvl w:ilvl="0" w:tplc="E2020396">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C134529"/>
    <w:multiLevelType w:val="hybridMultilevel"/>
    <w:tmpl w:val="FA460B86"/>
    <w:lvl w:ilvl="0" w:tplc="3822C00A">
      <w:start w:val="1"/>
      <w:numFmt w:val="decimal"/>
      <w:lvlText w:val="%1)"/>
      <w:lvlJc w:val="left"/>
      <w:pPr>
        <w:ind w:left="1080" w:hanging="360"/>
      </w:pPr>
      <w:rPr>
        <w:rFonts w:eastAsia="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8A60702"/>
    <w:multiLevelType w:val="hybridMultilevel"/>
    <w:tmpl w:val="80D2651C"/>
    <w:lvl w:ilvl="0" w:tplc="E82C6B08">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F5C"/>
    <w:rsid w:val="00003182"/>
    <w:rsid w:val="00031C10"/>
    <w:rsid w:val="00037815"/>
    <w:rsid w:val="000412BE"/>
    <w:rsid w:val="000531E2"/>
    <w:rsid w:val="00054498"/>
    <w:rsid w:val="00074C1E"/>
    <w:rsid w:val="00083552"/>
    <w:rsid w:val="000D30D0"/>
    <w:rsid w:val="000D3595"/>
    <w:rsid w:val="000D4EFE"/>
    <w:rsid w:val="000F428D"/>
    <w:rsid w:val="000F4F84"/>
    <w:rsid w:val="000F576E"/>
    <w:rsid w:val="000F688F"/>
    <w:rsid w:val="00122433"/>
    <w:rsid w:val="001253F0"/>
    <w:rsid w:val="00130514"/>
    <w:rsid w:val="001355A3"/>
    <w:rsid w:val="0017145C"/>
    <w:rsid w:val="001715F5"/>
    <w:rsid w:val="00184E97"/>
    <w:rsid w:val="00193FC6"/>
    <w:rsid w:val="00194430"/>
    <w:rsid w:val="001A7FF4"/>
    <w:rsid w:val="001B3BDF"/>
    <w:rsid w:val="001C2A72"/>
    <w:rsid w:val="001C4057"/>
    <w:rsid w:val="001E5A52"/>
    <w:rsid w:val="001F0127"/>
    <w:rsid w:val="001F2AA4"/>
    <w:rsid w:val="002129E6"/>
    <w:rsid w:val="002150EE"/>
    <w:rsid w:val="002367A9"/>
    <w:rsid w:val="00242F60"/>
    <w:rsid w:val="00245511"/>
    <w:rsid w:val="00245CD6"/>
    <w:rsid w:val="002559D0"/>
    <w:rsid w:val="002702A7"/>
    <w:rsid w:val="00281D12"/>
    <w:rsid w:val="00285EE0"/>
    <w:rsid w:val="002B2662"/>
    <w:rsid w:val="002E0C0B"/>
    <w:rsid w:val="003026B9"/>
    <w:rsid w:val="00306CD0"/>
    <w:rsid w:val="00321C49"/>
    <w:rsid w:val="0032205E"/>
    <w:rsid w:val="00340A53"/>
    <w:rsid w:val="0034502F"/>
    <w:rsid w:val="003474A1"/>
    <w:rsid w:val="00350144"/>
    <w:rsid w:val="00352E2D"/>
    <w:rsid w:val="00362E75"/>
    <w:rsid w:val="00372867"/>
    <w:rsid w:val="00373324"/>
    <w:rsid w:val="00386593"/>
    <w:rsid w:val="00387FF2"/>
    <w:rsid w:val="0039420A"/>
    <w:rsid w:val="003A40CE"/>
    <w:rsid w:val="003B7DA4"/>
    <w:rsid w:val="003C174F"/>
    <w:rsid w:val="003C3125"/>
    <w:rsid w:val="003C3413"/>
    <w:rsid w:val="003C4115"/>
    <w:rsid w:val="003D0711"/>
    <w:rsid w:val="003D25EA"/>
    <w:rsid w:val="003D781E"/>
    <w:rsid w:val="003E41BF"/>
    <w:rsid w:val="003E4CD3"/>
    <w:rsid w:val="003F0296"/>
    <w:rsid w:val="0041306C"/>
    <w:rsid w:val="00414A02"/>
    <w:rsid w:val="00415752"/>
    <w:rsid w:val="00430760"/>
    <w:rsid w:val="00432C7A"/>
    <w:rsid w:val="004473CB"/>
    <w:rsid w:val="00484FBE"/>
    <w:rsid w:val="00494395"/>
    <w:rsid w:val="00494BEC"/>
    <w:rsid w:val="004B3ACE"/>
    <w:rsid w:val="004B478D"/>
    <w:rsid w:val="004E3A6F"/>
    <w:rsid w:val="004F08D1"/>
    <w:rsid w:val="004F197A"/>
    <w:rsid w:val="004F431F"/>
    <w:rsid w:val="004F4562"/>
    <w:rsid w:val="00501CF1"/>
    <w:rsid w:val="00506D76"/>
    <w:rsid w:val="0050726C"/>
    <w:rsid w:val="005075E7"/>
    <w:rsid w:val="005150DB"/>
    <w:rsid w:val="005249B0"/>
    <w:rsid w:val="005252C6"/>
    <w:rsid w:val="0052562A"/>
    <w:rsid w:val="00530460"/>
    <w:rsid w:val="005311C8"/>
    <w:rsid w:val="00540988"/>
    <w:rsid w:val="00540AEE"/>
    <w:rsid w:val="00552649"/>
    <w:rsid w:val="0057245E"/>
    <w:rsid w:val="0058075E"/>
    <w:rsid w:val="00587459"/>
    <w:rsid w:val="005A4053"/>
    <w:rsid w:val="005A55A2"/>
    <w:rsid w:val="005C110A"/>
    <w:rsid w:val="005F1C47"/>
    <w:rsid w:val="005F6AD5"/>
    <w:rsid w:val="00605971"/>
    <w:rsid w:val="006118FB"/>
    <w:rsid w:val="00614822"/>
    <w:rsid w:val="0065220D"/>
    <w:rsid w:val="006663E9"/>
    <w:rsid w:val="00677098"/>
    <w:rsid w:val="006851BB"/>
    <w:rsid w:val="00685A71"/>
    <w:rsid w:val="00691B42"/>
    <w:rsid w:val="00695851"/>
    <w:rsid w:val="006A1EE3"/>
    <w:rsid w:val="006C2673"/>
    <w:rsid w:val="006C4FA1"/>
    <w:rsid w:val="006D5A1C"/>
    <w:rsid w:val="006E6A8D"/>
    <w:rsid w:val="006F0376"/>
    <w:rsid w:val="0070482F"/>
    <w:rsid w:val="00715E6A"/>
    <w:rsid w:val="00731C42"/>
    <w:rsid w:val="007A3C78"/>
    <w:rsid w:val="007B456E"/>
    <w:rsid w:val="007C233D"/>
    <w:rsid w:val="007C3F1A"/>
    <w:rsid w:val="007D2E2F"/>
    <w:rsid w:val="007E759D"/>
    <w:rsid w:val="007F200E"/>
    <w:rsid w:val="007F2310"/>
    <w:rsid w:val="008034CE"/>
    <w:rsid w:val="008040B5"/>
    <w:rsid w:val="00815D22"/>
    <w:rsid w:val="00821620"/>
    <w:rsid w:val="00831CD3"/>
    <w:rsid w:val="008504ED"/>
    <w:rsid w:val="00854671"/>
    <w:rsid w:val="00860E44"/>
    <w:rsid w:val="00862EA4"/>
    <w:rsid w:val="0086337D"/>
    <w:rsid w:val="00881049"/>
    <w:rsid w:val="00885D1C"/>
    <w:rsid w:val="0089672A"/>
    <w:rsid w:val="008B2863"/>
    <w:rsid w:val="008B70A8"/>
    <w:rsid w:val="008C70C8"/>
    <w:rsid w:val="008D1017"/>
    <w:rsid w:val="008F6BCC"/>
    <w:rsid w:val="009019AB"/>
    <w:rsid w:val="00916004"/>
    <w:rsid w:val="0093101B"/>
    <w:rsid w:val="00931B7B"/>
    <w:rsid w:val="00945745"/>
    <w:rsid w:val="00963E0D"/>
    <w:rsid w:val="00975520"/>
    <w:rsid w:val="00977294"/>
    <w:rsid w:val="009778CE"/>
    <w:rsid w:val="0098566A"/>
    <w:rsid w:val="00992F5C"/>
    <w:rsid w:val="009A0AE2"/>
    <w:rsid w:val="009B4829"/>
    <w:rsid w:val="009B716D"/>
    <w:rsid w:val="009C28B8"/>
    <w:rsid w:val="009C5A26"/>
    <w:rsid w:val="009F0884"/>
    <w:rsid w:val="009F519F"/>
    <w:rsid w:val="009F7BB5"/>
    <w:rsid w:val="00A001E4"/>
    <w:rsid w:val="00A14FE9"/>
    <w:rsid w:val="00A20EE9"/>
    <w:rsid w:val="00A32E87"/>
    <w:rsid w:val="00A34E39"/>
    <w:rsid w:val="00A359AF"/>
    <w:rsid w:val="00A517C4"/>
    <w:rsid w:val="00A60B8E"/>
    <w:rsid w:val="00A61288"/>
    <w:rsid w:val="00A75253"/>
    <w:rsid w:val="00A75EF7"/>
    <w:rsid w:val="00A9137D"/>
    <w:rsid w:val="00AA512F"/>
    <w:rsid w:val="00AC0260"/>
    <w:rsid w:val="00AC68E3"/>
    <w:rsid w:val="00AD2D37"/>
    <w:rsid w:val="00AD491C"/>
    <w:rsid w:val="00AD67D3"/>
    <w:rsid w:val="00AD6E82"/>
    <w:rsid w:val="00B00C48"/>
    <w:rsid w:val="00B13542"/>
    <w:rsid w:val="00B16285"/>
    <w:rsid w:val="00B348E6"/>
    <w:rsid w:val="00B57065"/>
    <w:rsid w:val="00B734DB"/>
    <w:rsid w:val="00B964B0"/>
    <w:rsid w:val="00BB3620"/>
    <w:rsid w:val="00BD2AC0"/>
    <w:rsid w:val="00BE1957"/>
    <w:rsid w:val="00BE1B04"/>
    <w:rsid w:val="00BF6324"/>
    <w:rsid w:val="00C01D4C"/>
    <w:rsid w:val="00C105E0"/>
    <w:rsid w:val="00C42A05"/>
    <w:rsid w:val="00C527D9"/>
    <w:rsid w:val="00C658F0"/>
    <w:rsid w:val="00C703CE"/>
    <w:rsid w:val="00C83E71"/>
    <w:rsid w:val="00C951F1"/>
    <w:rsid w:val="00CA1789"/>
    <w:rsid w:val="00CA2BE3"/>
    <w:rsid w:val="00CA3DCE"/>
    <w:rsid w:val="00CD1B5D"/>
    <w:rsid w:val="00CD2303"/>
    <w:rsid w:val="00D029D3"/>
    <w:rsid w:val="00D04CAD"/>
    <w:rsid w:val="00D17A5F"/>
    <w:rsid w:val="00D32931"/>
    <w:rsid w:val="00D52DC2"/>
    <w:rsid w:val="00D611D3"/>
    <w:rsid w:val="00D71F66"/>
    <w:rsid w:val="00D96D10"/>
    <w:rsid w:val="00DA45EA"/>
    <w:rsid w:val="00DA6935"/>
    <w:rsid w:val="00DB6B91"/>
    <w:rsid w:val="00DC3CDC"/>
    <w:rsid w:val="00DE0B61"/>
    <w:rsid w:val="00DE4CB4"/>
    <w:rsid w:val="00DE560C"/>
    <w:rsid w:val="00DF6164"/>
    <w:rsid w:val="00DF6D57"/>
    <w:rsid w:val="00E56705"/>
    <w:rsid w:val="00E64003"/>
    <w:rsid w:val="00E6700A"/>
    <w:rsid w:val="00E73D6B"/>
    <w:rsid w:val="00E843D2"/>
    <w:rsid w:val="00E91EA3"/>
    <w:rsid w:val="00EA30B2"/>
    <w:rsid w:val="00EB3FFA"/>
    <w:rsid w:val="00ED3A74"/>
    <w:rsid w:val="00ED4E93"/>
    <w:rsid w:val="00EE0646"/>
    <w:rsid w:val="00EF056E"/>
    <w:rsid w:val="00EF3D5B"/>
    <w:rsid w:val="00F01EBD"/>
    <w:rsid w:val="00F16D41"/>
    <w:rsid w:val="00F24B3E"/>
    <w:rsid w:val="00F34108"/>
    <w:rsid w:val="00F349B9"/>
    <w:rsid w:val="00F416B6"/>
    <w:rsid w:val="00F42841"/>
    <w:rsid w:val="00F557EE"/>
    <w:rsid w:val="00F5781D"/>
    <w:rsid w:val="00F83B73"/>
    <w:rsid w:val="00F92360"/>
    <w:rsid w:val="00F968FF"/>
    <w:rsid w:val="00FB086C"/>
    <w:rsid w:val="00FB401F"/>
    <w:rsid w:val="00FC138C"/>
    <w:rsid w:val="00FC5B1B"/>
    <w:rsid w:val="00FD34CC"/>
    <w:rsid w:val="00FD6C93"/>
    <w:rsid w:val="00FE4136"/>
    <w:rsid w:val="00FF3C69"/>
    <w:rsid w:val="00FF65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1FE1CF"/>
  <w15:docId w15:val="{CCA8F183-C995-4345-AE75-3965D280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2F5C"/>
    <w:pPr>
      <w:tabs>
        <w:tab w:val="center" w:pos="4703"/>
        <w:tab w:val="right" w:pos="9406"/>
      </w:tabs>
      <w:spacing w:after="0" w:line="240" w:lineRule="auto"/>
    </w:pPr>
  </w:style>
  <w:style w:type="character" w:customStyle="1" w:styleId="HeaderChar">
    <w:name w:val="Header Char"/>
    <w:basedOn w:val="DefaultParagraphFont"/>
    <w:link w:val="Header"/>
    <w:uiPriority w:val="99"/>
    <w:rsid w:val="00992F5C"/>
  </w:style>
  <w:style w:type="paragraph" w:styleId="Footer">
    <w:name w:val="footer"/>
    <w:basedOn w:val="Normal"/>
    <w:link w:val="FooterChar"/>
    <w:uiPriority w:val="99"/>
    <w:unhideWhenUsed/>
    <w:rsid w:val="00992F5C"/>
    <w:pPr>
      <w:tabs>
        <w:tab w:val="center" w:pos="4703"/>
        <w:tab w:val="right" w:pos="9406"/>
      </w:tabs>
      <w:spacing w:after="0" w:line="240" w:lineRule="auto"/>
    </w:pPr>
  </w:style>
  <w:style w:type="character" w:customStyle="1" w:styleId="FooterChar">
    <w:name w:val="Footer Char"/>
    <w:basedOn w:val="DefaultParagraphFont"/>
    <w:link w:val="Footer"/>
    <w:uiPriority w:val="99"/>
    <w:rsid w:val="00992F5C"/>
  </w:style>
  <w:style w:type="paragraph" w:styleId="ListParagraph">
    <w:name w:val="List Paragraph"/>
    <w:basedOn w:val="Normal"/>
    <w:uiPriority w:val="34"/>
    <w:qFormat/>
    <w:rsid w:val="00386593"/>
    <w:pPr>
      <w:ind w:left="720"/>
      <w:contextualSpacing/>
    </w:pPr>
  </w:style>
  <w:style w:type="paragraph" w:customStyle="1" w:styleId="CM1">
    <w:name w:val="CM1"/>
    <w:basedOn w:val="Normal"/>
    <w:next w:val="Normal"/>
    <w:uiPriority w:val="99"/>
    <w:rsid w:val="00E6700A"/>
    <w:pPr>
      <w:autoSpaceDE w:val="0"/>
      <w:autoSpaceDN w:val="0"/>
      <w:adjustRightInd w:val="0"/>
      <w:spacing w:after="0" w:line="240" w:lineRule="auto"/>
    </w:pPr>
    <w:rPr>
      <w:rFonts w:ascii="Times New Roman" w:hAnsi="Times New Roman" w:cs="Times New Roman"/>
      <w:sz w:val="24"/>
      <w:szCs w:val="24"/>
    </w:rPr>
  </w:style>
  <w:style w:type="paragraph" w:customStyle="1" w:styleId="CM3">
    <w:name w:val="CM3"/>
    <w:basedOn w:val="Normal"/>
    <w:next w:val="Normal"/>
    <w:uiPriority w:val="99"/>
    <w:rsid w:val="00E6700A"/>
    <w:pPr>
      <w:autoSpaceDE w:val="0"/>
      <w:autoSpaceDN w:val="0"/>
      <w:adjustRightInd w:val="0"/>
      <w:spacing w:after="0"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C83E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3E71"/>
    <w:rPr>
      <w:rFonts w:ascii="Tahoma" w:hAnsi="Tahoma" w:cs="Tahoma"/>
      <w:sz w:val="16"/>
      <w:szCs w:val="16"/>
    </w:rPr>
  </w:style>
  <w:style w:type="character" w:styleId="CommentReference">
    <w:name w:val="annotation reference"/>
    <w:basedOn w:val="DefaultParagraphFont"/>
    <w:uiPriority w:val="99"/>
    <w:semiHidden/>
    <w:unhideWhenUsed/>
    <w:rsid w:val="007B456E"/>
    <w:rPr>
      <w:sz w:val="16"/>
      <w:szCs w:val="16"/>
    </w:rPr>
  </w:style>
  <w:style w:type="paragraph" w:styleId="CommentText">
    <w:name w:val="annotation text"/>
    <w:basedOn w:val="Normal"/>
    <w:link w:val="CommentTextChar"/>
    <w:uiPriority w:val="99"/>
    <w:semiHidden/>
    <w:unhideWhenUsed/>
    <w:rsid w:val="007B456E"/>
    <w:pPr>
      <w:spacing w:line="240" w:lineRule="auto"/>
    </w:pPr>
    <w:rPr>
      <w:sz w:val="20"/>
      <w:szCs w:val="20"/>
    </w:rPr>
  </w:style>
  <w:style w:type="character" w:customStyle="1" w:styleId="CommentTextChar">
    <w:name w:val="Comment Text Char"/>
    <w:basedOn w:val="DefaultParagraphFont"/>
    <w:link w:val="CommentText"/>
    <w:uiPriority w:val="99"/>
    <w:semiHidden/>
    <w:rsid w:val="007B456E"/>
    <w:rPr>
      <w:sz w:val="20"/>
      <w:szCs w:val="20"/>
    </w:rPr>
  </w:style>
  <w:style w:type="paragraph" w:styleId="CommentSubject">
    <w:name w:val="annotation subject"/>
    <w:basedOn w:val="CommentText"/>
    <w:next w:val="CommentText"/>
    <w:link w:val="CommentSubjectChar"/>
    <w:uiPriority w:val="99"/>
    <w:semiHidden/>
    <w:unhideWhenUsed/>
    <w:rsid w:val="007B456E"/>
    <w:rPr>
      <w:b/>
      <w:bCs/>
    </w:rPr>
  </w:style>
  <w:style w:type="character" w:customStyle="1" w:styleId="CommentSubjectChar">
    <w:name w:val="Comment Subject Char"/>
    <w:basedOn w:val="CommentTextChar"/>
    <w:link w:val="CommentSubject"/>
    <w:uiPriority w:val="99"/>
    <w:semiHidden/>
    <w:rsid w:val="007B456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07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89E7B8-02AE-4F22-BDAC-5AB0FA09CBDF}"/>
</file>

<file path=customXml/itemProps2.xml><?xml version="1.0" encoding="utf-8"?>
<ds:datastoreItem xmlns:ds="http://schemas.openxmlformats.org/officeDocument/2006/customXml" ds:itemID="{1D9E5D9A-0E6B-4C18-BA7B-8EFB514FEDC5}"/>
</file>

<file path=customXml/itemProps3.xml><?xml version="1.0" encoding="utf-8"?>
<ds:datastoreItem xmlns:ds="http://schemas.openxmlformats.org/officeDocument/2006/customXml" ds:itemID="{83FD0A6B-76FF-467B-B02E-7438FD8CAFB9}"/>
</file>

<file path=customXml/itemProps4.xml><?xml version="1.0" encoding="utf-8"?>
<ds:datastoreItem xmlns:ds="http://schemas.openxmlformats.org/officeDocument/2006/customXml" ds:itemID="{AB3CFB10-3444-44B5-880E-7C7C7AC68730}"/>
</file>

<file path=docProps/app.xml><?xml version="1.0" encoding="utf-8"?>
<Properties xmlns="http://schemas.openxmlformats.org/officeDocument/2006/extended-properties" xmlns:vt="http://schemas.openxmlformats.org/officeDocument/2006/docPropsVTypes">
  <Template>Normal.dotm</Template>
  <TotalTime>0</TotalTime>
  <Pages>3</Pages>
  <Words>1495</Words>
  <Characters>8337</Characters>
  <Application>Microsoft Office Word</Application>
  <DocSecurity>0</DocSecurity>
  <Lines>115</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The Dow Chemical Company</Company>
  <LinksUpToDate>false</LinksUpToDate>
  <CharactersWithSpaces>9819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Hindle, Stuart (S)</dc:creator>
  <cp:lastModifiedBy>Hindle, Stuart (S)</cp:lastModifiedBy>
  <cp:revision>2</cp:revision>
  <dcterms:created xsi:type="dcterms:W3CDTF">2018-04-12T10:51:00Z</dcterms:created>
  <dcterms:modified xsi:type="dcterms:W3CDTF">2018-04-12T10:51:00Z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_Steward">
    <vt:lpwstr>Hindle S u416205</vt:lpwstr>
  </property>
  <property fmtid="{D5CDD505-2E9C-101B-9397-08002B2CF9AE}" pid="3" name="Update_Footer">
    <vt:lpwstr>No</vt:lpwstr>
  </property>
  <property fmtid="{D5CDD505-2E9C-101B-9397-08002B2CF9AE}" pid="4" name="Radio_Button">
    <vt:lpwstr>RadioButton2</vt:lpwstr>
  </property>
  <property fmtid="{D5CDD505-2E9C-101B-9397-08002B2CF9AE}" pid="5" name="Information_Classification">
    <vt:lpwstr/>
  </property>
  <property fmtid="{D5CDD505-2E9C-101B-9397-08002B2CF9AE}" pid="6" name="Record_Title_ID">
    <vt:lpwstr>72</vt:lpwstr>
  </property>
  <property fmtid="{D5CDD505-2E9C-101B-9397-08002B2CF9AE}" pid="7" name="Initial_Creation_Date">
    <vt:filetime>2018-03-27T07:50:58Z</vt:filetime>
  </property>
  <property fmtid="{D5CDD505-2E9C-101B-9397-08002B2CF9AE}" pid="8" name="Retention_Period_Start_Date">
    <vt:filetime>2018-04-12T10:51:22Z</vt:filetime>
  </property>
  <property fmtid="{D5CDD505-2E9C-101B-9397-08002B2CF9AE}" pid="9" name="Last_Reviewed_Date">
    <vt:lpwstr/>
  </property>
  <property fmtid="{D5CDD505-2E9C-101B-9397-08002B2CF9AE}" pid="10" name="Retention_Review_Frequency">
    <vt:lpwstr/>
  </property>
  <property fmtid="{D5CDD505-2E9C-101B-9397-08002B2CF9AE}" pid="11" name="_AdHocReviewCycleID">
    <vt:i4>-1278970187</vt:i4>
  </property>
  <property fmtid="{D5CDD505-2E9C-101B-9397-08002B2CF9AE}" pid="12" name="_NewReviewCycle">
    <vt:lpwstr/>
  </property>
  <property fmtid="{D5CDD505-2E9C-101B-9397-08002B2CF9AE}" pid="13" name="_EmailSubject">
    <vt:lpwstr>CLH report on DCOIT</vt:lpwstr>
  </property>
  <property fmtid="{D5CDD505-2E9C-101B-9397-08002B2CF9AE}" pid="14" name="_AuthorEmail">
    <vt:lpwstr>SHindle@dow.com</vt:lpwstr>
  </property>
  <property fmtid="{D5CDD505-2E9C-101B-9397-08002B2CF9AE}" pid="15" name="_AuthorEmailDisplayName">
    <vt:lpwstr>Hindle, Stuart (S)</vt:lpwstr>
  </property>
  <property fmtid="{D5CDD505-2E9C-101B-9397-08002B2CF9AE}" pid="16" name="_PreviousAdHocReviewCycleID">
    <vt:i4>2060901070</vt:i4>
  </property>
  <property fmtid="{D5CDD505-2E9C-101B-9397-08002B2CF9AE}" pid="17" name="_ReviewingToolsShownOnce">
    <vt:lpwstr/>
  </property>
</Properties>
</file>